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40" w:lineRule="auto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14:paraId="04000000">
      <w:pPr>
        <w:spacing w:after="0" w:line="240" w:lineRule="auto"/>
        <w:ind w:firstLine="0" w:left="538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05000000">
      <w:pPr>
        <w:spacing w:after="0" w:line="240" w:lineRule="auto"/>
        <w:ind w:firstLine="0" w:left="538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Постановлением Главы </w:t>
      </w:r>
      <w:r>
        <w:rPr>
          <w:rFonts w:ascii="Times New Roman" w:hAnsi="Times New Roman"/>
          <w:sz w:val="28"/>
        </w:rPr>
        <w:t>администрации города Байконур</w:t>
      </w:r>
    </w:p>
    <w:p w14:paraId="06000000">
      <w:pPr>
        <w:ind w:firstLine="0" w:left="538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06 июля 2021 г. № 289</w:t>
      </w:r>
    </w:p>
    <w:p w14:paraId="07000000">
      <w:pPr>
        <w:spacing w:after="0" w:line="240" w:lineRule="auto"/>
        <w:ind w:firstLine="0" w:left="5387"/>
        <w:outlineLvl w:val="0"/>
        <w:rPr>
          <w:rFonts w:ascii="Times New Roman" w:hAnsi="Times New Roman"/>
          <w:sz w:val="28"/>
        </w:rPr>
      </w:pPr>
    </w:p>
    <w:p w14:paraId="08000000">
      <w:pPr>
        <w:spacing w:after="0" w:line="240" w:lineRule="auto"/>
        <w:ind w:firstLine="0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№ 4</w:t>
      </w:r>
    </w:p>
    <w:p w14:paraId="09000000">
      <w:pPr>
        <w:spacing w:after="0" w:line="240" w:lineRule="auto"/>
        <w:ind w:firstLine="0" w:left="538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Главы </w:t>
      </w:r>
      <w:r>
        <w:rPr>
          <w:rFonts w:ascii="Times New Roman" w:hAnsi="Times New Roman"/>
          <w:sz w:val="28"/>
        </w:rPr>
        <w:t>администрации города Байконур</w:t>
      </w:r>
    </w:p>
    <w:p w14:paraId="0A000000">
      <w:pPr>
        <w:ind w:firstLine="0" w:left="538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i w:val="1"/>
          <w:sz w:val="28"/>
          <w:u w:val="single"/>
        </w:rPr>
        <w:t xml:space="preserve"> </w:t>
      </w:r>
      <w:r>
        <w:rPr>
          <w:rFonts w:ascii="Times New Roman" w:hAnsi="Times New Roman"/>
          <w:i w:val="1"/>
          <w:sz w:val="28"/>
          <w:u w:val="single"/>
        </w:rPr>
        <w:t xml:space="preserve"> </w:t>
      </w:r>
      <w:r>
        <w:rPr>
          <w:rFonts w:ascii="Times New Roman" w:hAnsi="Times New Roman"/>
          <w:i w:val="1"/>
          <w:sz w:val="28"/>
          <w:u w:val="single"/>
        </w:rPr>
        <w:t xml:space="preserve">09 февраля 2021 г. </w:t>
      </w:r>
      <w:r>
        <w:rPr>
          <w:rFonts w:ascii="Times New Roman" w:hAnsi="Times New Roman"/>
          <w:i w:val="1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i w:val="1"/>
          <w:sz w:val="28"/>
          <w:u w:val="single"/>
        </w:rPr>
        <w:t xml:space="preserve">  </w:t>
      </w:r>
      <w:r>
        <w:rPr>
          <w:rFonts w:ascii="Times New Roman" w:hAnsi="Times New Roman"/>
          <w:i w:val="1"/>
          <w:sz w:val="28"/>
          <w:u w:val="single"/>
        </w:rPr>
        <w:t>54</w:t>
      </w:r>
      <w:r>
        <w:rPr>
          <w:rFonts w:ascii="Times New Roman" w:hAnsi="Times New Roman"/>
          <w:i w:val="1"/>
          <w:sz w:val="28"/>
          <w:u w:val="single"/>
        </w:rPr>
        <w:t xml:space="preserve">  </w:t>
      </w:r>
      <w:r>
        <w:rPr>
          <w:rFonts w:ascii="Times New Roman" w:hAnsi="Times New Roman"/>
          <w:i w:val="1"/>
          <w:sz w:val="28"/>
          <w:u w:val="single"/>
        </w:rPr>
        <w:tab/>
      </w:r>
    </w:p>
    <w:p w14:paraId="0B000000">
      <w:pPr>
        <w:tabs>
          <w:tab w:leader="none" w:pos="9637" w:val="left"/>
        </w:tabs>
        <w:spacing w:after="0" w:line="276" w:lineRule="auto"/>
        <w:ind w:firstLine="0" w:left="6096" w:right="-2"/>
        <w:rPr>
          <w:rFonts w:ascii="Roboto" w:hAnsi="Roboto"/>
          <w:color w:val="020B22"/>
          <w:sz w:val="24"/>
        </w:rPr>
      </w:pPr>
    </w:p>
    <w:p w14:paraId="0C000000">
      <w:pPr>
        <w:spacing w:after="0" w:line="276" w:lineRule="auto"/>
        <w:ind/>
        <w:jc w:val="right"/>
        <w:rPr>
          <w:rFonts w:ascii="Roboto" w:hAnsi="Roboto"/>
          <w:color w:val="020B22"/>
          <w:sz w:val="23"/>
        </w:rPr>
      </w:pPr>
    </w:p>
    <w:p w14:paraId="0D000000">
      <w:pPr>
        <w:spacing w:after="0" w:beforeAutospacing="on" w:line="240" w:lineRule="auto"/>
        <w:ind/>
        <w:jc w:val="center"/>
        <w:rPr>
          <w:rFonts w:ascii="Times New Roman" w:hAnsi="Times New Roman"/>
          <w:b w:val="1"/>
          <w:color w:val="020B22"/>
          <w:sz w:val="28"/>
        </w:rPr>
      </w:pPr>
      <w:r>
        <w:rPr>
          <w:rFonts w:ascii="Roboto" w:hAnsi="Roboto"/>
          <w:color w:val="020B22"/>
          <w:sz w:val="23"/>
        </w:rPr>
        <w:t> </w:t>
      </w:r>
      <w:r>
        <w:rPr>
          <w:rFonts w:ascii="Times New Roman" w:hAnsi="Times New Roman"/>
          <w:b w:val="1"/>
          <w:color w:val="020B22"/>
          <w:sz w:val="28"/>
        </w:rPr>
        <w:t>Порядок</w:t>
      </w:r>
      <w:r>
        <w:rPr>
          <w:rFonts w:ascii="Times New Roman" w:hAnsi="Times New Roman"/>
          <w:b w:val="1"/>
          <w:color w:val="020B22"/>
          <w:sz w:val="28"/>
        </w:rPr>
        <w:t xml:space="preserve"> осуществления заимствований</w:t>
      </w:r>
    </w:p>
    <w:p w14:paraId="0E000000">
      <w:pPr>
        <w:spacing w:after="0" w:line="276" w:lineRule="auto"/>
        <w:ind/>
        <w:jc w:val="center"/>
        <w:rPr>
          <w:rFonts w:ascii="Times New Roman" w:hAnsi="Times New Roman"/>
          <w:b w:val="1"/>
          <w:color w:val="020B22"/>
          <w:sz w:val="28"/>
        </w:rPr>
      </w:pPr>
      <w:r>
        <w:rPr>
          <w:rFonts w:ascii="Times New Roman" w:hAnsi="Times New Roman"/>
          <w:b w:val="1"/>
          <w:color w:val="020B22"/>
          <w:sz w:val="28"/>
        </w:rPr>
        <w:t>государственным</w:t>
      </w:r>
      <w:r>
        <w:rPr>
          <w:rFonts w:ascii="Times New Roman" w:hAnsi="Times New Roman"/>
          <w:b w:val="1"/>
          <w:color w:val="020B22"/>
          <w:sz w:val="28"/>
        </w:rPr>
        <w:t>и</w:t>
      </w:r>
      <w:r>
        <w:rPr>
          <w:rFonts w:ascii="Times New Roman" w:hAnsi="Times New Roman"/>
          <w:b w:val="1"/>
          <w:color w:val="020B22"/>
          <w:sz w:val="28"/>
        </w:rPr>
        <w:t xml:space="preserve"> унитарным</w:t>
      </w:r>
      <w:r>
        <w:rPr>
          <w:rFonts w:ascii="Times New Roman" w:hAnsi="Times New Roman"/>
          <w:b w:val="1"/>
          <w:color w:val="020B22"/>
          <w:sz w:val="28"/>
        </w:rPr>
        <w:t>и</w:t>
      </w:r>
      <w:r>
        <w:rPr>
          <w:rFonts w:ascii="Times New Roman" w:hAnsi="Times New Roman"/>
          <w:b w:val="1"/>
          <w:color w:val="020B22"/>
          <w:sz w:val="28"/>
        </w:rPr>
        <w:t xml:space="preserve"> </w:t>
      </w:r>
      <w:r>
        <w:rPr>
          <w:rFonts w:ascii="Times New Roman" w:hAnsi="Times New Roman"/>
          <w:b w:val="1"/>
          <w:color w:val="020B22"/>
          <w:sz w:val="28"/>
        </w:rPr>
        <w:t>п</w:t>
      </w:r>
      <w:r>
        <w:rPr>
          <w:rFonts w:ascii="Times New Roman" w:hAnsi="Times New Roman"/>
          <w:b w:val="1"/>
          <w:color w:val="020B22"/>
          <w:sz w:val="28"/>
        </w:rPr>
        <w:t>редприяти</w:t>
      </w:r>
      <w:r>
        <w:rPr>
          <w:rFonts w:ascii="Times New Roman" w:hAnsi="Times New Roman"/>
          <w:b w:val="1"/>
          <w:color w:val="020B22"/>
          <w:sz w:val="28"/>
        </w:rPr>
        <w:t>я</w:t>
      </w:r>
      <w:r>
        <w:rPr>
          <w:rFonts w:ascii="Times New Roman" w:hAnsi="Times New Roman"/>
          <w:b w:val="1"/>
          <w:color w:val="020B22"/>
          <w:sz w:val="28"/>
        </w:rPr>
        <w:t>м</w:t>
      </w:r>
      <w:r>
        <w:rPr>
          <w:rFonts w:ascii="Times New Roman" w:hAnsi="Times New Roman"/>
          <w:b w:val="1"/>
          <w:color w:val="020B22"/>
          <w:sz w:val="28"/>
        </w:rPr>
        <w:t>и</w:t>
      </w:r>
      <w:r>
        <w:rPr>
          <w:rFonts w:ascii="Times New Roman" w:hAnsi="Times New Roman"/>
          <w:b w:val="1"/>
          <w:color w:val="020B22"/>
          <w:sz w:val="28"/>
        </w:rPr>
        <w:t>,</w:t>
      </w:r>
    </w:p>
    <w:p w14:paraId="0F000000">
      <w:pPr>
        <w:spacing w:after="0" w:line="276" w:lineRule="auto"/>
        <w:ind/>
        <w:jc w:val="center"/>
        <w:rPr>
          <w:rFonts w:ascii="Times New Roman" w:hAnsi="Times New Roman"/>
          <w:b w:val="1"/>
          <w:color w:val="020B22"/>
          <w:sz w:val="28"/>
        </w:rPr>
      </w:pPr>
      <w:r>
        <w:rPr>
          <w:rFonts w:ascii="Times New Roman" w:hAnsi="Times New Roman"/>
          <w:b w:val="1"/>
          <w:color w:val="020B22"/>
          <w:sz w:val="28"/>
        </w:rPr>
        <w:t>находящи</w:t>
      </w:r>
      <w:r>
        <w:rPr>
          <w:rFonts w:ascii="Times New Roman" w:hAnsi="Times New Roman"/>
          <w:b w:val="1"/>
          <w:color w:val="020B22"/>
          <w:sz w:val="28"/>
        </w:rPr>
        <w:t>м</w:t>
      </w:r>
      <w:r>
        <w:rPr>
          <w:rFonts w:ascii="Times New Roman" w:hAnsi="Times New Roman"/>
          <w:b w:val="1"/>
          <w:color w:val="020B22"/>
          <w:sz w:val="28"/>
        </w:rPr>
        <w:t>и</w:t>
      </w:r>
      <w:r>
        <w:rPr>
          <w:rFonts w:ascii="Times New Roman" w:hAnsi="Times New Roman"/>
          <w:b w:val="1"/>
          <w:color w:val="020B22"/>
          <w:sz w:val="28"/>
        </w:rPr>
        <w:t xml:space="preserve">ся в ведении администрации </w:t>
      </w:r>
      <w:r>
        <w:rPr>
          <w:rFonts w:ascii="Times New Roman" w:hAnsi="Times New Roman"/>
          <w:b w:val="1"/>
          <w:color w:val="020B22"/>
          <w:sz w:val="28"/>
        </w:rPr>
        <w:t>города Байконур</w:t>
      </w:r>
    </w:p>
    <w:p w14:paraId="10000000">
      <w:pPr>
        <w:spacing w:after="0" w:line="240" w:lineRule="auto"/>
        <w:ind w:firstLine="720" w:left="0"/>
        <w:jc w:val="center"/>
        <w:outlineLvl w:val="0"/>
        <w:rPr>
          <w:rFonts w:ascii="Times New Roman" w:hAnsi="Times New Roman"/>
          <w:sz w:val="28"/>
        </w:rPr>
      </w:pPr>
    </w:p>
    <w:p w14:paraId="11000000">
      <w:pPr>
        <w:spacing w:line="276" w:lineRule="auto"/>
        <w:ind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1. </w:t>
      </w:r>
      <w:r>
        <w:rPr>
          <w:rFonts w:ascii="Times New Roman" w:hAnsi="Times New Roman"/>
          <w:sz w:val="28"/>
        </w:rPr>
        <w:t>Общие положения</w:t>
      </w:r>
    </w:p>
    <w:p w14:paraId="12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Настоящий Порядок устанавливает </w:t>
      </w:r>
      <w:r>
        <w:rPr>
          <w:rFonts w:ascii="Times New Roman" w:hAnsi="Times New Roman"/>
          <w:sz w:val="28"/>
        </w:rPr>
        <w:t>процедуру согласования</w:t>
      </w:r>
      <w:r>
        <w:rPr>
          <w:rFonts w:ascii="Times New Roman" w:hAnsi="Times New Roman"/>
          <w:sz w:val="28"/>
        </w:rPr>
        <w:t xml:space="preserve"> осуществления заимствований государственным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унитарным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предприяти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, находящим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ся в ведении администрации города Байконур (далее – </w:t>
      </w:r>
      <w:r>
        <w:rPr>
          <w:rFonts w:ascii="Times New Roman" w:hAnsi="Times New Roman"/>
          <w:sz w:val="28"/>
        </w:rPr>
        <w:t xml:space="preserve">Согласование,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редприяти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соответственно</w:t>
      </w:r>
      <w:r>
        <w:rPr>
          <w:rFonts w:ascii="Times New Roman" w:hAnsi="Times New Roman"/>
          <w:sz w:val="28"/>
        </w:rPr>
        <w:t>).</w:t>
      </w:r>
    </w:p>
    <w:p w14:paraId="13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Заимствования П</w:t>
      </w:r>
      <w:r>
        <w:rPr>
          <w:rFonts w:ascii="Times New Roman" w:hAnsi="Times New Roman"/>
          <w:sz w:val="28"/>
        </w:rPr>
        <w:t>редприятия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и осуществляются в форме </w:t>
      </w:r>
      <w:r>
        <w:rPr>
          <w:rFonts w:ascii="Times New Roman" w:hAnsi="Times New Roman"/>
          <w:sz w:val="28"/>
        </w:rPr>
        <w:t>кредитов по догов</w:t>
      </w:r>
      <w:r>
        <w:rPr>
          <w:rFonts w:ascii="Times New Roman" w:hAnsi="Times New Roman"/>
          <w:sz w:val="28"/>
        </w:rPr>
        <w:t>орам с кредитными организациями.</w:t>
      </w:r>
    </w:p>
    <w:p w14:paraId="14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П</w:t>
      </w:r>
      <w:r>
        <w:rPr>
          <w:rFonts w:ascii="Times New Roman" w:hAnsi="Times New Roman"/>
          <w:sz w:val="28"/>
        </w:rPr>
        <w:t>редприятия</w:t>
      </w:r>
      <w:r>
        <w:rPr>
          <w:rFonts w:ascii="Times New Roman" w:hAnsi="Times New Roman"/>
          <w:sz w:val="28"/>
        </w:rPr>
        <w:t xml:space="preserve"> вправе осуществлять заимствования только при условии согласования объема и направлений использования привлекаемых средств с администрацией</w:t>
      </w:r>
      <w:r>
        <w:rPr>
          <w:rFonts w:ascii="Times New Roman" w:hAnsi="Times New Roman"/>
          <w:sz w:val="28"/>
        </w:rPr>
        <w:t xml:space="preserve"> города Байконур.</w:t>
      </w:r>
    </w:p>
    <w:p w14:paraId="15000000">
      <w:pPr>
        <w:pStyle w:val="Style_2"/>
        <w:numPr>
          <w:ilvl w:val="1"/>
          <w:numId w:val="1"/>
        </w:num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Заимство</w:t>
      </w:r>
      <w:r>
        <w:rPr>
          <w:rFonts w:ascii="Times New Roman" w:hAnsi="Times New Roman"/>
          <w:sz w:val="28"/>
        </w:rPr>
        <w:t>вания осуществляются П</w:t>
      </w:r>
      <w:r>
        <w:rPr>
          <w:rFonts w:ascii="Times New Roman" w:hAnsi="Times New Roman"/>
          <w:sz w:val="28"/>
        </w:rPr>
        <w:t>редприятия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при        необходимости привлечения денежных средств для следующих целей:</w:t>
      </w:r>
    </w:p>
    <w:p w14:paraId="16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пополнения </w:t>
      </w:r>
      <w:r>
        <w:rPr>
          <w:rFonts w:ascii="Times New Roman" w:hAnsi="Times New Roman"/>
          <w:sz w:val="28"/>
        </w:rPr>
        <w:t>оборотных средств</w:t>
      </w:r>
      <w:r>
        <w:rPr>
          <w:rFonts w:ascii="Times New Roman" w:hAnsi="Times New Roman"/>
          <w:sz w:val="28"/>
        </w:rPr>
        <w:t>;</w:t>
      </w:r>
    </w:p>
    <w:p w14:paraId="17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реализации  проектов  и  мероприятий,  направленных  на  повышение эффективности финанс</w:t>
      </w:r>
      <w:r>
        <w:rPr>
          <w:rFonts w:ascii="Times New Roman" w:hAnsi="Times New Roman"/>
          <w:sz w:val="28"/>
        </w:rPr>
        <w:t>ово-хозяйственной деятельности</w:t>
      </w:r>
      <w:r>
        <w:rPr>
          <w:rFonts w:ascii="Times New Roman" w:hAnsi="Times New Roman"/>
          <w:sz w:val="28"/>
        </w:rPr>
        <w:t>.</w:t>
      </w:r>
    </w:p>
    <w:p w14:paraId="18000000">
      <w:pPr>
        <w:pStyle w:val="Style_2"/>
        <w:numPr>
          <w:ilvl w:val="1"/>
          <w:numId w:val="1"/>
        </w:numPr>
        <w:spacing w:after="0" w:line="276" w:lineRule="auto"/>
        <w:ind w:firstLine="851" w:left="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Рассмотрение</w:t>
      </w:r>
      <w:r>
        <w:rPr>
          <w:rFonts w:ascii="Times New Roman" w:hAnsi="Times New Roman"/>
          <w:sz w:val="28"/>
        </w:rPr>
        <w:t xml:space="preserve"> обращения Предприятий в целях С</w:t>
      </w:r>
      <w:r>
        <w:rPr>
          <w:rFonts w:ascii="Times New Roman" w:hAnsi="Times New Roman"/>
          <w:sz w:val="28"/>
        </w:rPr>
        <w:t xml:space="preserve">огласования осуществляется комиссией по </w:t>
      </w:r>
      <w:r>
        <w:rPr>
          <w:rFonts w:ascii="Times New Roman" w:hAnsi="Times New Roman"/>
          <w:sz w:val="28"/>
        </w:rPr>
        <w:t>согласованию (одобрению) сделок государственных</w:t>
      </w:r>
      <w:r>
        <w:rPr>
          <w:rFonts w:ascii="Times New Roman" w:hAnsi="Times New Roman"/>
          <w:color w:val="000000"/>
          <w:sz w:val="28"/>
        </w:rPr>
        <w:t xml:space="preserve"> унитарных предприятий и учреждений, </w:t>
      </w:r>
      <w:r>
        <w:rPr>
          <w:rFonts w:ascii="Times New Roman" w:hAnsi="Times New Roman"/>
          <w:sz w:val="28"/>
        </w:rPr>
        <w:t xml:space="preserve">находящихся </w:t>
      </w: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 xml:space="preserve">в ведении администрации города Байконур </w:t>
      </w:r>
      <w:r>
        <w:rPr>
          <w:rFonts w:ascii="Times New Roman" w:hAnsi="Times New Roman"/>
          <w:sz w:val="28"/>
        </w:rPr>
        <w:t>(далее – Комиссия).</w:t>
      </w:r>
    </w:p>
    <w:p w14:paraId="19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</w:p>
    <w:p w14:paraId="1A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</w:p>
    <w:p w14:paraId="1B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</w:p>
    <w:p w14:paraId="1C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</w:p>
    <w:p w14:paraId="1D000000">
      <w:pPr>
        <w:pStyle w:val="Style_2"/>
        <w:numPr>
          <w:ilvl w:val="0"/>
          <w:numId w:val="1"/>
        </w:numPr>
        <w:spacing w:after="0" w:line="276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Порядок подачи и рассмотрения заявлений на </w:t>
      </w:r>
      <w:r>
        <w:rPr>
          <w:rFonts w:ascii="Times New Roman" w:hAnsi="Times New Roman"/>
          <w:sz w:val="28"/>
        </w:rPr>
        <w:t>Согласование</w:t>
      </w:r>
    </w:p>
    <w:p w14:paraId="1E000000">
      <w:pPr>
        <w:pStyle w:val="Style_2"/>
        <w:spacing w:after="0" w:line="276" w:lineRule="auto"/>
        <w:ind w:firstLine="0" w:left="1080"/>
        <w:rPr>
          <w:rFonts w:ascii="Times New Roman" w:hAnsi="Times New Roman"/>
          <w:sz w:val="24"/>
        </w:rPr>
      </w:pPr>
    </w:p>
    <w:p w14:paraId="1F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</w:t>
      </w:r>
      <w:r>
        <w:rPr>
          <w:rFonts w:ascii="Times New Roman" w:hAnsi="Times New Roman"/>
          <w:sz w:val="28"/>
        </w:rPr>
        <w:t xml:space="preserve"> В целях получения Согласования администраци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города Байконур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редприятия обращаю</w:t>
      </w:r>
      <w:r>
        <w:rPr>
          <w:rFonts w:ascii="Times New Roman" w:hAnsi="Times New Roman"/>
          <w:sz w:val="28"/>
        </w:rPr>
        <w:t xml:space="preserve">тся в адрес председателя Комиссии </w:t>
      </w: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>с заявлением</w:t>
      </w:r>
      <w:r>
        <w:rPr>
          <w:rFonts w:ascii="Times New Roman" w:hAnsi="Times New Roman"/>
          <w:sz w:val="28"/>
        </w:rPr>
        <w:t xml:space="preserve"> по форме согласно приложению № 1 к настоящему Порядку, содержащему след</w:t>
      </w:r>
      <w:r>
        <w:rPr>
          <w:rFonts w:ascii="Times New Roman" w:hAnsi="Times New Roman"/>
          <w:sz w:val="28"/>
        </w:rPr>
        <w:t xml:space="preserve">ующие сведения: </w:t>
      </w:r>
    </w:p>
    <w:p w14:paraId="20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наименование 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редприятия;</w:t>
      </w:r>
    </w:p>
    <w:p w14:paraId="21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полное наименование и местонахождение предпол</w:t>
      </w:r>
      <w:r>
        <w:rPr>
          <w:rFonts w:ascii="Times New Roman" w:hAnsi="Times New Roman"/>
          <w:sz w:val="28"/>
        </w:rPr>
        <w:t>агаемого кредитора</w:t>
      </w:r>
      <w:r>
        <w:rPr>
          <w:rFonts w:ascii="Times New Roman" w:hAnsi="Times New Roman"/>
          <w:sz w:val="28"/>
        </w:rPr>
        <w:t>;</w:t>
      </w:r>
    </w:p>
    <w:p w14:paraId="22000000">
      <w:pPr>
        <w:spacing w:after="0" w:line="276" w:lineRule="auto"/>
        <w:ind w:firstLine="851" w:left="0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форма заимствования;</w:t>
      </w:r>
    </w:p>
    <w:p w14:paraId="23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предполагаемые объем и направления использования заемных средств;</w:t>
      </w:r>
    </w:p>
    <w:p w14:paraId="24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редполагаемый размер процентной ставки за пользование заемными средствами;</w:t>
      </w:r>
    </w:p>
    <w:p w14:paraId="25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предполагаемый срок заимствования; </w:t>
      </w:r>
    </w:p>
    <w:p w14:paraId="26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 и размер обеспечения исполнения обязательств по возврату заемных средств, если заимствование осуществляется с обеспечением.</w:t>
      </w:r>
    </w:p>
    <w:p w14:paraId="27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</w:t>
      </w:r>
      <w:r>
        <w:rPr>
          <w:rFonts w:ascii="Times New Roman" w:hAnsi="Times New Roman"/>
          <w:sz w:val="28"/>
        </w:rPr>
        <w:t xml:space="preserve"> К заявлению прилагаются следующие </w:t>
      </w:r>
      <w:r>
        <w:rPr>
          <w:rFonts w:ascii="Times New Roman" w:hAnsi="Times New Roman"/>
          <w:sz w:val="28"/>
        </w:rPr>
        <w:t xml:space="preserve">документы и копии </w:t>
      </w:r>
      <w:r>
        <w:rPr>
          <w:rFonts w:ascii="Times New Roman" w:hAnsi="Times New Roman"/>
          <w:sz w:val="28"/>
        </w:rPr>
        <w:t>документ</w:t>
      </w:r>
      <w:r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 xml:space="preserve">, заверенные руководителем, главным бухгалтером </w:t>
      </w:r>
      <w:r>
        <w:rPr>
          <w:rFonts w:ascii="Times New Roman" w:hAnsi="Times New Roman"/>
          <w:sz w:val="28"/>
        </w:rPr>
        <w:t xml:space="preserve">                         </w:t>
      </w:r>
      <w:r>
        <w:rPr>
          <w:rFonts w:ascii="Times New Roman" w:hAnsi="Times New Roman"/>
          <w:sz w:val="28"/>
        </w:rPr>
        <w:t xml:space="preserve">и скрепленные печатью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редприятия:</w:t>
      </w:r>
    </w:p>
    <w:p w14:paraId="28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обоснование, отражающее необходимость, техническую</w:t>
      </w:r>
      <w:r>
        <w:rPr>
          <w:rFonts w:ascii="Times New Roman" w:hAnsi="Times New Roman"/>
          <w:sz w:val="28"/>
        </w:rPr>
        <w:t xml:space="preserve">                       </w:t>
      </w:r>
      <w:r>
        <w:rPr>
          <w:rFonts w:ascii="Times New Roman" w:hAnsi="Times New Roman"/>
          <w:sz w:val="28"/>
        </w:rPr>
        <w:t xml:space="preserve"> и экономическую целесообразность привлечения заемных средств, а также возможность в предполагаемые сроки обеспечить их возврат;</w:t>
      </w:r>
    </w:p>
    <w:p w14:paraId="29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финансово-экономическое обоснование объема и направлений использования средств, привлекаемых на основании договора </w:t>
      </w:r>
      <w:r>
        <w:rPr>
          <w:rFonts w:ascii="Times New Roman" w:hAnsi="Times New Roman"/>
          <w:sz w:val="28"/>
        </w:rPr>
        <w:t xml:space="preserve">                         </w:t>
      </w:r>
      <w:r>
        <w:rPr>
          <w:rFonts w:ascii="Times New Roman" w:hAnsi="Times New Roman"/>
          <w:sz w:val="28"/>
        </w:rPr>
        <w:t>о заимствовании;</w:t>
      </w:r>
    </w:p>
    <w:p w14:paraId="2A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копия бухгалтерской отчетности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редприятия за предыдущий год</w:t>
      </w: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>(с отметкой налогового органа) и на последнюю отчетную дату;</w:t>
      </w:r>
    </w:p>
    <w:p w14:paraId="2B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расшифровка кредиторской и дебиторской задолженности </w:t>
      </w:r>
      <w:r>
        <w:rPr>
          <w:rFonts w:ascii="Times New Roman" w:hAnsi="Times New Roman"/>
          <w:sz w:val="28"/>
        </w:rPr>
        <w:t xml:space="preserve">                  </w:t>
      </w:r>
      <w:r>
        <w:rPr>
          <w:rFonts w:ascii="Times New Roman" w:hAnsi="Times New Roman"/>
          <w:sz w:val="28"/>
        </w:rPr>
        <w:t>на последнюю отчетную дату;</w:t>
      </w:r>
    </w:p>
    <w:p w14:paraId="2C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расшифровка долгосрочных обязательств (при наличии);</w:t>
      </w:r>
    </w:p>
    <w:p w14:paraId="2D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расшифровка</w:t>
      </w:r>
      <w:r>
        <w:rPr>
          <w:rFonts w:ascii="Times New Roman" w:hAnsi="Times New Roman"/>
          <w:sz w:val="28"/>
        </w:rPr>
        <w:t xml:space="preserve"> краткосрочных займов и кредитов (при наличии);</w:t>
      </w:r>
    </w:p>
    <w:p w14:paraId="2E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справка из налогового органа о состоянии расчетов по налогам, сборам, взносам по состоянию на первое число месяца, в котором подано заявление;</w:t>
      </w:r>
    </w:p>
    <w:p w14:paraId="2F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договора при осуществлении заимствования в форме кредитов;</w:t>
      </w:r>
    </w:p>
    <w:p w14:paraId="30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договора залога в случае предоставления</w:t>
      </w:r>
      <w:r>
        <w:rPr>
          <w:rFonts w:ascii="Times New Roman" w:hAnsi="Times New Roman"/>
          <w:sz w:val="28"/>
        </w:rPr>
        <w:t xml:space="preserve"> имущества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находящего в хозяйственном ведении </w:t>
      </w:r>
      <w:r>
        <w:rPr>
          <w:rFonts w:ascii="Times New Roman" w:hAnsi="Times New Roman"/>
          <w:sz w:val="28"/>
        </w:rPr>
        <w:t>Предприятия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 залог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качестве </w:t>
      </w:r>
      <w:r>
        <w:rPr>
          <w:rFonts w:ascii="Times New Roman" w:hAnsi="Times New Roman"/>
          <w:sz w:val="28"/>
        </w:rPr>
        <w:t>обеспечения исполнения обязательств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заимствованию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согласия учредителя</w:t>
      </w:r>
      <w:r>
        <w:rPr>
          <w:rFonts w:ascii="Times New Roman" w:hAnsi="Times New Roman"/>
          <w:sz w:val="28"/>
        </w:rPr>
        <w:t>.</w:t>
      </w:r>
    </w:p>
    <w:p w14:paraId="31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Комиссия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вправе запрашивать </w:t>
      </w:r>
      <w:r>
        <w:rPr>
          <w:rFonts w:ascii="Times New Roman" w:hAnsi="Times New Roman"/>
          <w:sz w:val="28"/>
        </w:rPr>
        <w:t>дополнительную</w:t>
      </w:r>
      <w:r>
        <w:rPr>
          <w:rFonts w:ascii="Times New Roman" w:hAnsi="Times New Roman"/>
          <w:sz w:val="28"/>
        </w:rPr>
        <w:t xml:space="preserve"> информацию </w:t>
      </w: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 xml:space="preserve">о финансово-хозяйственной деятельности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редприяти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, необходимую для подготовки заключения о согласовании объема и направлений использования привлекаемых средств.</w:t>
      </w:r>
    </w:p>
    <w:p w14:paraId="32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Заявление, поданное с нарушением настоящего Порядка либо</w:t>
      </w: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с несоблюдением требований, предъявляемых к предоставляемым документам, возвращается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редприятию в течение 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рабочих дней со дня его получения с указанием причин возврата.</w:t>
      </w:r>
    </w:p>
    <w:p w14:paraId="33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2.4.</w:t>
      </w:r>
      <w:r>
        <w:rPr>
          <w:rFonts w:ascii="Times New Roman" w:hAnsi="Times New Roman"/>
          <w:sz w:val="28"/>
        </w:rPr>
        <w:t xml:space="preserve"> Комиссия в течение 10</w:t>
      </w:r>
      <w:r>
        <w:rPr>
          <w:rFonts w:ascii="Times New Roman" w:hAnsi="Times New Roman"/>
          <w:sz w:val="28"/>
        </w:rPr>
        <w:t xml:space="preserve"> дней со дня п</w:t>
      </w:r>
      <w:r>
        <w:rPr>
          <w:rFonts w:ascii="Times New Roman" w:hAnsi="Times New Roman"/>
          <w:sz w:val="28"/>
        </w:rPr>
        <w:t>оступления</w:t>
      </w:r>
      <w:r>
        <w:rPr>
          <w:rFonts w:ascii="Times New Roman" w:hAnsi="Times New Roman"/>
          <w:sz w:val="28"/>
        </w:rPr>
        <w:t xml:space="preserve"> заявления рассматривает представленные документы</w:t>
      </w:r>
      <w:r>
        <w:rPr>
          <w:rFonts w:ascii="Times New Roman" w:hAnsi="Times New Roman"/>
          <w:sz w:val="28"/>
        </w:rPr>
        <w:t>, оценивает ф</w:t>
      </w:r>
      <w:r>
        <w:rPr>
          <w:rFonts w:ascii="Times New Roman" w:hAnsi="Times New Roman"/>
          <w:sz w:val="28"/>
        </w:rPr>
        <w:t>инансовое состояние,</w:t>
      </w:r>
      <w:r>
        <w:rPr>
          <w:rFonts w:ascii="Times New Roman" w:hAnsi="Times New Roman"/>
          <w:sz w:val="28"/>
        </w:rPr>
        <w:t xml:space="preserve"> п</w:t>
      </w:r>
      <w:r>
        <w:rPr>
          <w:rFonts w:ascii="Times New Roman" w:hAnsi="Times New Roman"/>
          <w:sz w:val="28"/>
        </w:rPr>
        <w:t>латежеспособность, кредитоспособность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Предприятия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возможность </w:t>
      </w:r>
      <w:r>
        <w:rPr>
          <w:rFonts w:ascii="Times New Roman" w:hAnsi="Times New Roman"/>
          <w:sz w:val="28"/>
        </w:rPr>
        <w:t xml:space="preserve">              </w:t>
      </w:r>
      <w:r>
        <w:rPr>
          <w:rFonts w:ascii="Times New Roman" w:hAnsi="Times New Roman"/>
          <w:sz w:val="28"/>
        </w:rPr>
        <w:t>и целесообразность осуществления заимствования</w:t>
      </w:r>
      <w:r>
        <w:rPr>
          <w:rFonts w:ascii="Times New Roman" w:hAnsi="Times New Roman"/>
          <w:sz w:val="28"/>
        </w:rPr>
        <w:t>.</w:t>
      </w:r>
    </w:p>
    <w:p w14:paraId="34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Комиссия вправе продлить срок рассмотрения документов не более чем на 5 рабочих дней, предварительно письменно уведомив Предприятие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 продлении срока рассмотрения.</w:t>
      </w:r>
    </w:p>
    <w:p w14:paraId="35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рассмотрения заявления и прилагаемых к нему документов Комиссия принимает решение о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огласовании,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либо </w:t>
      </w:r>
      <w:r>
        <w:rPr>
          <w:rFonts w:ascii="Times New Roman" w:hAnsi="Times New Roman"/>
          <w:sz w:val="28"/>
        </w:rPr>
        <w:t xml:space="preserve">решение </w:t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>об отказе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огласовании</w:t>
      </w:r>
      <w:r>
        <w:rPr>
          <w:rFonts w:ascii="Times New Roman" w:hAnsi="Times New Roman"/>
          <w:sz w:val="28"/>
        </w:rPr>
        <w:t xml:space="preserve"> (далее – Решени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14:paraId="36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Результат рассмотрения заявления и принятого Комиссией Решения фиксируется в протоколе заседания Комиссии.</w:t>
      </w:r>
    </w:p>
    <w:p w14:paraId="37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2.5. </w:t>
      </w:r>
      <w:r>
        <w:rPr>
          <w:rFonts w:ascii="Times New Roman" w:hAnsi="Times New Roman"/>
          <w:sz w:val="28"/>
        </w:rPr>
        <w:t xml:space="preserve">Решение оформляется </w:t>
      </w:r>
      <w:r>
        <w:rPr>
          <w:rFonts w:ascii="Times New Roman" w:hAnsi="Times New Roman"/>
          <w:sz w:val="28"/>
        </w:rPr>
        <w:t xml:space="preserve">в течение 5 дней со дня подписания протокола заседания Комиссии </w:t>
      </w:r>
      <w:r>
        <w:rPr>
          <w:rFonts w:ascii="Times New Roman" w:hAnsi="Times New Roman"/>
          <w:sz w:val="28"/>
        </w:rPr>
        <w:t>по форме согласно приложению № 2</w:t>
      </w: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 xml:space="preserve"> к Порядку, подписывается председателем Комиссии, заверяется печатью Аппарата Главы администрации города Байконур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 воспроизведением государственного герба Российской Федерации направляется </w:t>
      </w:r>
      <w:r>
        <w:rPr>
          <w:rFonts w:ascii="Times New Roman" w:hAnsi="Times New Roman"/>
          <w:sz w:val="28"/>
        </w:rPr>
        <w:t>Предприятию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указанием согласованных объемов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направлений использования привлекаемых средств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 оснований отказа</w:t>
      </w:r>
      <w:r>
        <w:rPr>
          <w:rFonts w:ascii="Times New Roman" w:hAnsi="Times New Roman"/>
          <w:sz w:val="28"/>
        </w:rPr>
        <w:t>.</w:t>
      </w:r>
    </w:p>
    <w:p w14:paraId="38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2.6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Основаниями для отказа в С</w:t>
      </w:r>
      <w:r>
        <w:rPr>
          <w:rFonts w:ascii="Times New Roman" w:hAnsi="Times New Roman"/>
          <w:sz w:val="28"/>
        </w:rPr>
        <w:t>огласовании являются:</w:t>
      </w:r>
    </w:p>
    <w:p w14:paraId="39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непредставлени</w:t>
      </w:r>
      <w:r>
        <w:rPr>
          <w:rFonts w:ascii="Times New Roman" w:hAnsi="Times New Roman"/>
          <w:sz w:val="28"/>
        </w:rPr>
        <w:t xml:space="preserve">е документов, указанных в пунктах 2.1, 2.2 </w:t>
      </w:r>
      <w:r>
        <w:rPr>
          <w:rFonts w:ascii="Times New Roman" w:hAnsi="Times New Roman"/>
          <w:sz w:val="28"/>
        </w:rPr>
        <w:t>настоящего Порядка;</w:t>
      </w:r>
    </w:p>
    <w:p w14:paraId="3A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недостоверная информация в документах, указанных в пункте </w:t>
      </w:r>
      <w:r>
        <w:rPr>
          <w:rFonts w:ascii="Times New Roman" w:hAnsi="Times New Roman"/>
          <w:sz w:val="28"/>
        </w:rPr>
        <w:t>2.1, 2.2</w:t>
      </w:r>
      <w:r>
        <w:rPr>
          <w:rFonts w:ascii="Times New Roman" w:hAnsi="Times New Roman"/>
          <w:sz w:val="28"/>
        </w:rPr>
        <w:t xml:space="preserve"> настоящего Порядка;</w:t>
      </w:r>
    </w:p>
    <w:p w14:paraId="3B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несоответствие направлений использования привлекаемых средств цели, предмету и видам деятельности, которые определены уставом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редприятия;</w:t>
      </w:r>
    </w:p>
    <w:p w14:paraId="3C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нахождение П</w:t>
      </w:r>
      <w:r>
        <w:rPr>
          <w:rFonts w:ascii="Times New Roman" w:hAnsi="Times New Roman"/>
          <w:sz w:val="28"/>
        </w:rPr>
        <w:t>редприятия в стадии ликвидации;</w:t>
      </w:r>
    </w:p>
    <w:p w14:paraId="3D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возб</w:t>
      </w:r>
      <w:r>
        <w:rPr>
          <w:rFonts w:ascii="Times New Roman" w:hAnsi="Times New Roman"/>
          <w:sz w:val="28"/>
        </w:rPr>
        <w:t xml:space="preserve">уждение в отношении Предприятия дела </w:t>
      </w:r>
      <w:r>
        <w:rPr>
          <w:rFonts w:ascii="Times New Roman" w:hAnsi="Times New Roman"/>
          <w:sz w:val="28"/>
        </w:rPr>
        <w:t>о несостоятельности (банкротстве);</w:t>
      </w:r>
    </w:p>
    <w:p w14:paraId="3E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вывод о невозможности исполнения обязательств заимствования </w:t>
      </w: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 xml:space="preserve">по результатам анализа документов, указанных в пунктах </w:t>
      </w:r>
      <w:r>
        <w:rPr>
          <w:rFonts w:ascii="Times New Roman" w:hAnsi="Times New Roman"/>
          <w:sz w:val="28"/>
        </w:rPr>
        <w:t>2.1, 2.2</w:t>
      </w:r>
      <w:r>
        <w:rPr>
          <w:rFonts w:ascii="Times New Roman" w:hAnsi="Times New Roman"/>
          <w:sz w:val="28"/>
        </w:rPr>
        <w:t xml:space="preserve"> настоящего Порядка.</w:t>
      </w:r>
    </w:p>
    <w:p w14:paraId="3F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устранения причин, послуживших основаниями для отказа</w:t>
      </w: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 в Согласовании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Предприяти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могут повторно обратится за Согласованием.</w:t>
      </w:r>
    </w:p>
    <w:p w14:paraId="40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</w:p>
    <w:p w14:paraId="41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</w:p>
    <w:p w14:paraId="42000000">
      <w:pPr>
        <w:spacing w:after="0" w:line="276" w:lineRule="auto"/>
        <w:ind/>
        <w:jc w:val="center"/>
        <w:rPr>
          <w:rFonts w:ascii="yandex-sans" w:hAnsi="yandex-sans"/>
          <w:color w:val="000000"/>
          <w:sz w:val="28"/>
        </w:rPr>
      </w:pPr>
      <w:r>
        <w:rPr>
          <w:rFonts w:ascii="yandex-sans" w:hAnsi="yandex-sans"/>
          <w:color w:val="000000"/>
          <w:sz w:val="28"/>
        </w:rPr>
        <w:t xml:space="preserve">   </w:t>
      </w:r>
      <w:r>
        <w:rPr>
          <w:rFonts w:ascii="yandex-sans" w:hAnsi="yandex-sans"/>
          <w:color w:val="000000"/>
          <w:sz w:val="28"/>
        </w:rPr>
        <w:t>3</w:t>
      </w:r>
      <w:r>
        <w:rPr>
          <w:rFonts w:ascii="yandex-sans" w:hAnsi="yandex-sans"/>
          <w:color w:val="000000"/>
          <w:sz w:val="28"/>
        </w:rPr>
        <w:t>.</w:t>
      </w:r>
      <w:r>
        <w:rPr>
          <w:rFonts w:ascii="yandex-sans" w:hAnsi="yandex-sans"/>
          <w:color w:val="000000"/>
          <w:sz w:val="28"/>
        </w:rPr>
        <w:t xml:space="preserve"> Заключительные положения</w:t>
      </w:r>
    </w:p>
    <w:p w14:paraId="43000000">
      <w:pPr>
        <w:spacing w:after="0" w:line="276" w:lineRule="auto"/>
        <w:ind/>
        <w:jc w:val="center"/>
        <w:rPr>
          <w:rFonts w:ascii="yandex-sans" w:hAnsi="yandex-sans"/>
          <w:color w:val="000000"/>
          <w:sz w:val="28"/>
        </w:rPr>
      </w:pPr>
    </w:p>
    <w:p w14:paraId="44000000">
      <w:pPr>
        <w:spacing w:after="0" w:line="276" w:lineRule="auto"/>
        <w:ind w:firstLine="708" w:left="0"/>
        <w:jc w:val="both"/>
        <w:rPr>
          <w:rFonts w:ascii="yandex-sans" w:hAnsi="yandex-sans"/>
          <w:color w:val="000000"/>
          <w:sz w:val="28"/>
        </w:rPr>
      </w:pPr>
      <w:r>
        <w:rPr>
          <w:rFonts w:ascii="yandex-sans" w:hAnsi="yandex-sans"/>
          <w:color w:val="000000"/>
          <w:sz w:val="28"/>
        </w:rPr>
        <w:t>3.1. Предприятие ежеквартально не позд</w:t>
      </w:r>
      <w:r>
        <w:rPr>
          <w:rFonts w:ascii="yandex-sans" w:hAnsi="yandex-sans"/>
          <w:color w:val="000000"/>
          <w:sz w:val="28"/>
        </w:rPr>
        <w:t>нее пятого числа месяца, следую</w:t>
      </w:r>
      <w:r>
        <w:rPr>
          <w:rFonts w:ascii="yandex-sans" w:hAnsi="yandex-sans"/>
          <w:color w:val="000000"/>
          <w:sz w:val="28"/>
        </w:rPr>
        <w:t xml:space="preserve">щего за отчетным кварталом, представляет </w:t>
      </w:r>
      <w:r>
        <w:rPr>
          <w:rFonts w:ascii="yandex-sans" w:hAnsi="yandex-sans"/>
          <w:color w:val="000000"/>
          <w:sz w:val="28"/>
        </w:rPr>
        <w:t xml:space="preserve">в </w:t>
      </w:r>
      <w:r>
        <w:rPr>
          <w:rFonts w:ascii="yandex-sans" w:hAnsi="yandex-sans"/>
          <w:color w:val="000000"/>
          <w:sz w:val="28"/>
        </w:rPr>
        <w:t>Комиссию</w:t>
      </w:r>
      <w:r>
        <w:rPr>
          <w:rFonts w:ascii="yandex-sans" w:hAnsi="yandex-sans"/>
          <w:color w:val="000000"/>
          <w:sz w:val="28"/>
        </w:rPr>
        <w:t xml:space="preserve"> отчет об</w:t>
      </w:r>
      <w:r>
        <w:rPr>
          <w:rFonts w:ascii="yandex-sans" w:hAnsi="yandex-sans"/>
          <w:color w:val="000000"/>
          <w:sz w:val="28"/>
        </w:rPr>
        <w:t xml:space="preserve"> </w:t>
      </w:r>
      <w:r>
        <w:rPr>
          <w:rFonts w:ascii="yandex-sans" w:hAnsi="yandex-sans"/>
          <w:color w:val="000000"/>
          <w:sz w:val="28"/>
        </w:rPr>
        <w:t>использовании заемных средств и исполнении обязательств</w:t>
      </w:r>
      <w:r>
        <w:rPr>
          <w:rFonts w:ascii="yandex-sans" w:hAnsi="yandex-sans"/>
          <w:color w:val="000000"/>
          <w:sz w:val="28"/>
        </w:rPr>
        <w:t xml:space="preserve"> </w:t>
      </w:r>
      <w:r>
        <w:rPr>
          <w:rFonts w:ascii="yandex-sans" w:hAnsi="yandex-sans"/>
          <w:color w:val="000000"/>
          <w:sz w:val="28"/>
        </w:rPr>
        <w:t>по заимствованию.</w:t>
      </w:r>
    </w:p>
    <w:p w14:paraId="45000000">
      <w:pPr>
        <w:spacing w:after="0" w:line="276" w:lineRule="auto"/>
        <w:ind w:firstLine="708" w:left="0"/>
        <w:jc w:val="both"/>
        <w:rPr>
          <w:rFonts w:ascii="yandex-sans" w:hAnsi="yandex-sans"/>
          <w:color w:val="000000"/>
          <w:sz w:val="28"/>
        </w:rPr>
      </w:pPr>
      <w:r>
        <w:rPr>
          <w:rFonts w:ascii="yandex-sans" w:hAnsi="yandex-sans"/>
          <w:color w:val="000000"/>
          <w:sz w:val="28"/>
        </w:rPr>
        <w:t>3.2. Предприятие, исполнившее свои обяз</w:t>
      </w:r>
      <w:r>
        <w:rPr>
          <w:rFonts w:ascii="yandex-sans" w:hAnsi="yandex-sans"/>
          <w:color w:val="000000"/>
          <w:sz w:val="28"/>
        </w:rPr>
        <w:t>ательства по заимствованию, обя</w:t>
      </w:r>
      <w:r>
        <w:rPr>
          <w:rFonts w:ascii="yandex-sans" w:hAnsi="yandex-sans"/>
          <w:color w:val="000000"/>
          <w:sz w:val="28"/>
        </w:rPr>
        <w:t>зано не позднее трех дней со дня исполнения обязательств уведомить</w:t>
      </w:r>
      <w:r>
        <w:rPr>
          <w:rFonts w:ascii="yandex-sans" w:hAnsi="yandex-sans"/>
          <w:color w:val="000000"/>
          <w:sz w:val="28"/>
        </w:rPr>
        <w:t xml:space="preserve">     </w:t>
      </w:r>
      <w:r>
        <w:rPr>
          <w:rFonts w:ascii="yandex-sans" w:hAnsi="yandex-sans"/>
          <w:color w:val="000000"/>
          <w:sz w:val="28"/>
        </w:rPr>
        <w:t xml:space="preserve"> об этом</w:t>
      </w:r>
      <w:r>
        <w:rPr>
          <w:rFonts w:ascii="yandex-sans" w:hAnsi="yandex-sans"/>
          <w:color w:val="000000"/>
          <w:sz w:val="28"/>
        </w:rPr>
        <w:t xml:space="preserve"> Комиссию</w:t>
      </w:r>
      <w:r>
        <w:rPr>
          <w:rFonts w:ascii="yandex-sans" w:hAnsi="yandex-sans"/>
          <w:color w:val="000000"/>
          <w:sz w:val="28"/>
        </w:rPr>
        <w:t xml:space="preserve"> с приложением подтверждающих документов.</w:t>
      </w:r>
    </w:p>
    <w:p w14:paraId="46000000">
      <w:pPr>
        <w:spacing w:after="0" w:line="276" w:lineRule="auto"/>
        <w:ind w:firstLine="708" w:left="0"/>
        <w:jc w:val="both"/>
        <w:rPr>
          <w:rFonts w:ascii="yandex-sans" w:hAnsi="yandex-sans"/>
          <w:color w:val="000000"/>
          <w:sz w:val="28"/>
        </w:rPr>
      </w:pPr>
      <w:r>
        <w:rPr>
          <w:rFonts w:ascii="yandex-sans" w:hAnsi="yandex-sans"/>
          <w:color w:val="000000"/>
          <w:sz w:val="28"/>
        </w:rPr>
        <w:t xml:space="preserve">3.3. Изменение условий заимствования осуществляется </w:t>
      </w:r>
      <w:r>
        <w:rPr>
          <w:rFonts w:ascii="yandex-sans" w:hAnsi="yandex-sans"/>
          <w:color w:val="000000"/>
          <w:sz w:val="28"/>
        </w:rPr>
        <w:t>П</w:t>
      </w:r>
      <w:r>
        <w:rPr>
          <w:rFonts w:ascii="yandex-sans" w:hAnsi="yandex-sans"/>
          <w:color w:val="000000"/>
          <w:sz w:val="28"/>
        </w:rPr>
        <w:t>редприятием по</w:t>
      </w:r>
      <w:r>
        <w:rPr>
          <w:rFonts w:ascii="yandex-sans" w:hAnsi="yandex-sans"/>
          <w:color w:val="000000"/>
          <w:sz w:val="28"/>
        </w:rPr>
        <w:t xml:space="preserve"> </w:t>
      </w:r>
      <w:r>
        <w:rPr>
          <w:rFonts w:ascii="yandex-sans" w:hAnsi="yandex-sans"/>
          <w:color w:val="000000"/>
          <w:sz w:val="28"/>
        </w:rPr>
        <w:t>согласованию</w:t>
      </w:r>
      <w:r>
        <w:rPr>
          <w:rFonts w:ascii="yandex-sans" w:hAnsi="yandex-sans"/>
          <w:color w:val="000000"/>
          <w:sz w:val="28"/>
        </w:rPr>
        <w:t xml:space="preserve"> с</w:t>
      </w:r>
      <w:r>
        <w:rPr>
          <w:rFonts w:ascii="yandex-sans" w:hAnsi="yandex-sans"/>
          <w:color w:val="000000"/>
          <w:sz w:val="28"/>
        </w:rPr>
        <w:t xml:space="preserve"> </w:t>
      </w:r>
      <w:r>
        <w:rPr>
          <w:rFonts w:ascii="yandex-sans" w:hAnsi="yandex-sans"/>
          <w:color w:val="000000"/>
          <w:sz w:val="28"/>
        </w:rPr>
        <w:t>Комиссией</w:t>
      </w:r>
      <w:r>
        <w:rPr>
          <w:rFonts w:ascii="yandex-sans" w:hAnsi="yandex-sans"/>
          <w:color w:val="000000"/>
          <w:sz w:val="28"/>
        </w:rPr>
        <w:t>.</w:t>
      </w:r>
    </w:p>
    <w:p w14:paraId="47000000">
      <w:pPr>
        <w:spacing w:after="0" w:line="276" w:lineRule="auto"/>
        <w:ind w:firstLine="851" w:left="0"/>
        <w:jc w:val="both"/>
        <w:rPr>
          <w:rFonts w:ascii="Times New Roman" w:hAnsi="Times New Roman"/>
          <w:sz w:val="28"/>
        </w:rPr>
      </w:pPr>
    </w:p>
    <w:p w14:paraId="48000000">
      <w:pPr>
        <w:spacing w:after="0" w:line="276" w:lineRule="auto"/>
        <w:ind w:firstLine="851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</w:t>
      </w:r>
    </w:p>
    <w:p w14:paraId="49000000">
      <w:pPr>
        <w:pStyle w:val="Style_3"/>
        <w:spacing w:after="0" w:before="0"/>
        <w:ind w:firstLine="0" w:left="5103"/>
        <w:outlineLvl w:val="0"/>
      </w:pPr>
    </w:p>
    <w:p w14:paraId="4A000000">
      <w:pPr>
        <w:pStyle w:val="Style_3"/>
        <w:spacing w:after="0" w:before="0"/>
        <w:ind w:firstLine="0" w:left="5103"/>
        <w:outlineLvl w:val="0"/>
      </w:pPr>
    </w:p>
    <w:p w14:paraId="4B000000">
      <w:pPr>
        <w:pStyle w:val="Style_3"/>
        <w:spacing w:after="0" w:before="0"/>
        <w:ind w:firstLine="0" w:left="5103"/>
        <w:outlineLvl w:val="0"/>
      </w:pPr>
    </w:p>
    <w:p w14:paraId="4C000000">
      <w:pPr>
        <w:pStyle w:val="Style_3"/>
        <w:spacing w:after="0" w:before="0"/>
        <w:ind w:firstLine="0" w:left="5103"/>
        <w:outlineLvl w:val="0"/>
      </w:pPr>
    </w:p>
    <w:p w14:paraId="4D000000">
      <w:pPr>
        <w:pStyle w:val="Style_3"/>
        <w:spacing w:after="0" w:before="0"/>
        <w:ind w:firstLine="0" w:left="5103"/>
        <w:outlineLvl w:val="0"/>
      </w:pPr>
    </w:p>
    <w:p w14:paraId="4E000000">
      <w:pPr>
        <w:pStyle w:val="Style_3"/>
        <w:spacing w:after="0" w:before="0"/>
        <w:ind w:firstLine="0" w:left="5103"/>
        <w:outlineLvl w:val="0"/>
      </w:pPr>
    </w:p>
    <w:p w14:paraId="4F000000">
      <w:pPr>
        <w:pStyle w:val="Style_3"/>
        <w:spacing w:after="0" w:before="0"/>
        <w:ind w:firstLine="0" w:left="5103"/>
        <w:outlineLvl w:val="0"/>
      </w:pPr>
    </w:p>
    <w:p w14:paraId="50000000">
      <w:pPr>
        <w:pStyle w:val="Style_3"/>
        <w:spacing w:after="0" w:before="0"/>
        <w:ind w:firstLine="0" w:left="5103"/>
        <w:outlineLvl w:val="0"/>
      </w:pPr>
    </w:p>
    <w:p w14:paraId="51000000">
      <w:pPr>
        <w:pStyle w:val="Style_3"/>
        <w:spacing w:after="0" w:before="0"/>
        <w:ind w:firstLine="0" w:left="5103"/>
        <w:outlineLvl w:val="0"/>
      </w:pPr>
    </w:p>
    <w:p w14:paraId="52000000">
      <w:pPr>
        <w:pStyle w:val="Style_3"/>
        <w:spacing w:after="0" w:before="0"/>
        <w:ind w:firstLine="0" w:left="5103"/>
        <w:outlineLvl w:val="0"/>
      </w:pPr>
    </w:p>
    <w:p w14:paraId="53000000">
      <w:pPr>
        <w:pStyle w:val="Style_3"/>
        <w:spacing w:after="0" w:before="0"/>
        <w:ind w:firstLine="0" w:left="5103"/>
        <w:outlineLvl w:val="0"/>
      </w:pPr>
    </w:p>
    <w:p w14:paraId="54000000">
      <w:pPr>
        <w:pStyle w:val="Style_3"/>
        <w:spacing w:after="0" w:before="0"/>
        <w:ind w:firstLine="0" w:left="5103"/>
        <w:outlineLvl w:val="0"/>
      </w:pPr>
    </w:p>
    <w:p w14:paraId="55000000">
      <w:pPr>
        <w:pStyle w:val="Style_3"/>
        <w:spacing w:after="0" w:before="0"/>
        <w:ind w:firstLine="0" w:left="5103"/>
        <w:outlineLvl w:val="0"/>
      </w:pPr>
    </w:p>
    <w:p w14:paraId="56000000">
      <w:pPr>
        <w:pStyle w:val="Style_3"/>
        <w:spacing w:after="0" w:before="0"/>
        <w:ind w:firstLine="0" w:left="5103"/>
        <w:outlineLvl w:val="0"/>
      </w:pPr>
    </w:p>
    <w:p w14:paraId="57000000">
      <w:pPr>
        <w:pStyle w:val="Style_3"/>
        <w:spacing w:after="0" w:before="0"/>
        <w:ind w:firstLine="0" w:left="5103"/>
        <w:outlineLvl w:val="0"/>
      </w:pPr>
    </w:p>
    <w:p w14:paraId="58000000">
      <w:pPr>
        <w:pStyle w:val="Style_3"/>
        <w:spacing w:after="0" w:before="0"/>
        <w:ind w:firstLine="0" w:left="5103"/>
        <w:outlineLvl w:val="0"/>
      </w:pPr>
    </w:p>
    <w:p w14:paraId="59000000">
      <w:pPr>
        <w:pStyle w:val="Style_3"/>
        <w:spacing w:after="0" w:before="0"/>
        <w:ind w:firstLine="0" w:left="5103"/>
        <w:outlineLvl w:val="0"/>
      </w:pPr>
    </w:p>
    <w:p w14:paraId="5A000000">
      <w:pPr>
        <w:pStyle w:val="Style_3"/>
        <w:spacing w:after="0" w:before="0"/>
        <w:ind w:firstLine="0" w:left="5103"/>
        <w:outlineLvl w:val="0"/>
      </w:pPr>
    </w:p>
    <w:p w14:paraId="5B000000">
      <w:pPr>
        <w:pStyle w:val="Style_3"/>
        <w:spacing w:after="0" w:before="0"/>
        <w:ind w:firstLine="0" w:left="5103"/>
        <w:outlineLvl w:val="0"/>
      </w:pPr>
    </w:p>
    <w:p w14:paraId="5C000000">
      <w:pPr>
        <w:pStyle w:val="Style_3"/>
        <w:spacing w:after="0" w:before="0"/>
        <w:ind w:firstLine="0" w:left="5103"/>
        <w:outlineLvl w:val="0"/>
      </w:pPr>
    </w:p>
    <w:p w14:paraId="5D000000">
      <w:pPr>
        <w:pStyle w:val="Style_3"/>
        <w:spacing w:after="0" w:before="0"/>
        <w:ind w:firstLine="0" w:left="5103"/>
        <w:outlineLvl w:val="0"/>
      </w:pPr>
    </w:p>
    <w:p w14:paraId="5E000000">
      <w:pPr>
        <w:pStyle w:val="Style_3"/>
        <w:spacing w:after="0" w:before="0"/>
        <w:ind w:firstLine="0" w:left="5103"/>
        <w:outlineLvl w:val="0"/>
      </w:pPr>
    </w:p>
    <w:p w14:paraId="5F000000">
      <w:pPr>
        <w:pStyle w:val="Style_3"/>
        <w:spacing w:after="0" w:before="0"/>
        <w:ind w:firstLine="0" w:left="5103"/>
        <w:outlineLvl w:val="0"/>
      </w:pPr>
    </w:p>
    <w:p w14:paraId="60000000">
      <w:pPr>
        <w:pStyle w:val="Style_3"/>
        <w:spacing w:after="0" w:before="0"/>
        <w:ind w:firstLine="0" w:left="5103"/>
        <w:outlineLvl w:val="0"/>
      </w:pPr>
      <w:r>
        <w:t>Приложение № 1</w:t>
      </w:r>
    </w:p>
    <w:p w14:paraId="61000000">
      <w:pPr>
        <w:pStyle w:val="Style_3"/>
        <w:spacing w:after="0" w:before="0"/>
        <w:ind w:firstLine="0" w:left="5103"/>
        <w:outlineLvl w:val="0"/>
      </w:pPr>
      <w:r>
        <w:t>к Порядку осуществления заимствований</w:t>
      </w:r>
      <w:r>
        <w:t xml:space="preserve"> </w:t>
      </w:r>
      <w:r>
        <w:t>государственным</w:t>
      </w:r>
      <w:r>
        <w:t>и</w:t>
      </w:r>
      <w:r>
        <w:t xml:space="preserve"> унитарным</w:t>
      </w:r>
      <w:r>
        <w:t>и</w:t>
      </w:r>
      <w:r>
        <w:t xml:space="preserve"> предприяти</w:t>
      </w:r>
      <w:r>
        <w:t>я</w:t>
      </w:r>
      <w:r>
        <w:t>м</w:t>
      </w:r>
      <w:r>
        <w:t>и</w:t>
      </w:r>
      <w:r>
        <w:t>, находящим</w:t>
      </w:r>
      <w:r>
        <w:t>и</w:t>
      </w:r>
      <w:r>
        <w:t>ся в ведении администрации</w:t>
      </w:r>
      <w:r>
        <w:t xml:space="preserve"> </w:t>
      </w:r>
      <w:r>
        <w:t>города Байконур</w:t>
      </w:r>
    </w:p>
    <w:p w14:paraId="62000000">
      <w:pPr>
        <w:spacing w:after="0" w:line="276" w:lineRule="auto"/>
        <w:ind w:firstLine="0" w:left="5103"/>
        <w:rPr>
          <w:rFonts w:ascii="Times New Roman" w:hAnsi="Times New Roman"/>
          <w:sz w:val="24"/>
        </w:rPr>
      </w:pPr>
    </w:p>
    <w:p w14:paraId="63000000">
      <w:pPr>
        <w:spacing w:after="0" w:line="240" w:lineRule="auto"/>
        <w:ind w:firstLine="0" w:left="510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Председателю Комиссии </w:t>
      </w:r>
    </w:p>
    <w:p w14:paraId="64000000">
      <w:pPr>
        <w:spacing w:after="0" w:line="240" w:lineRule="auto"/>
        <w:ind w:firstLine="0" w:left="510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согласованию </w:t>
      </w:r>
      <w:r>
        <w:rPr>
          <w:rFonts w:ascii="Times New Roman" w:hAnsi="Times New Roman"/>
          <w:sz w:val="24"/>
        </w:rPr>
        <w:t>(одобрению) сделок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государственных</w:t>
      </w:r>
      <w:r>
        <w:rPr>
          <w:rFonts w:ascii="Times New Roman" w:hAnsi="Times New Roman"/>
          <w:sz w:val="24"/>
        </w:rPr>
        <w:t xml:space="preserve"> унитарны</w:t>
      </w:r>
      <w:r>
        <w:rPr>
          <w:rFonts w:ascii="Times New Roman" w:hAnsi="Times New Roman"/>
          <w:sz w:val="24"/>
        </w:rPr>
        <w:t>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</w:t>
      </w:r>
      <w:r>
        <w:rPr>
          <w:rFonts w:ascii="Times New Roman" w:hAnsi="Times New Roman"/>
          <w:sz w:val="24"/>
        </w:rPr>
        <w:t>редприяти</w:t>
      </w:r>
      <w:r>
        <w:rPr>
          <w:rFonts w:ascii="Times New Roman" w:hAnsi="Times New Roman"/>
          <w:sz w:val="24"/>
        </w:rPr>
        <w:t>й</w:t>
      </w:r>
      <w:r>
        <w:rPr>
          <w:rFonts w:ascii="Times New Roman" w:hAnsi="Times New Roman"/>
          <w:sz w:val="24"/>
        </w:rPr>
        <w:t>, находящи</w:t>
      </w:r>
      <w:r>
        <w:rPr>
          <w:rFonts w:ascii="Times New Roman" w:hAnsi="Times New Roman"/>
          <w:sz w:val="24"/>
        </w:rPr>
        <w:t>х</w:t>
      </w:r>
      <w:r>
        <w:rPr>
          <w:rFonts w:ascii="Times New Roman" w:hAnsi="Times New Roman"/>
          <w:sz w:val="24"/>
        </w:rPr>
        <w:t>ся в ведении администрации города Байконур</w:t>
      </w:r>
    </w:p>
    <w:p w14:paraId="65000000">
      <w:pPr>
        <w:spacing w:after="0" w:line="276" w:lineRule="auto"/>
        <w:ind w:firstLine="720" w:left="0"/>
        <w:jc w:val="right"/>
        <w:rPr>
          <w:rFonts w:ascii="Times New Roman" w:hAnsi="Times New Roman"/>
          <w:sz w:val="28"/>
        </w:rPr>
      </w:pPr>
    </w:p>
    <w:p w14:paraId="66000000">
      <w:pPr>
        <w:spacing w:after="0" w:line="276" w:lineRule="auto"/>
        <w:ind w:firstLine="720" w:left="0"/>
        <w:jc w:val="center"/>
        <w:rPr>
          <w:rStyle w:val="Style_4_ch"/>
          <w:rFonts w:ascii="Times New Roman" w:hAnsi="Times New Roman"/>
          <w:b w:val="0"/>
          <w:sz w:val="24"/>
        </w:rPr>
      </w:pPr>
    </w:p>
    <w:p w14:paraId="67000000">
      <w:pPr>
        <w:spacing w:after="0" w:line="276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ЗАЯВЛЕНИЕ</w:t>
      </w:r>
    </w:p>
    <w:p w14:paraId="68000000">
      <w:pPr>
        <w:spacing w:after="0" w:line="276" w:lineRule="auto"/>
        <w:ind w:firstLine="720" w:left="0"/>
        <w:jc w:val="center"/>
        <w:rPr>
          <w:rFonts w:ascii="Times New Roman" w:hAnsi="Times New Roman"/>
          <w:sz w:val="24"/>
        </w:rPr>
      </w:pPr>
      <w:r>
        <w:rPr>
          <w:rStyle w:val="Style_4_ch"/>
          <w:rFonts w:ascii="Times New Roman" w:hAnsi="Times New Roman"/>
          <w:sz w:val="24"/>
        </w:rPr>
        <w:t>о согласовании</w:t>
      </w:r>
      <w:r>
        <w:rPr>
          <w:rStyle w:val="Style_4_ch"/>
          <w:rFonts w:ascii="Times New Roman" w:hAnsi="Times New Roman"/>
          <w:sz w:val="24"/>
        </w:rPr>
        <w:t xml:space="preserve"> осуществления заимствования</w:t>
      </w:r>
    </w:p>
    <w:p w14:paraId="69000000">
      <w:pPr>
        <w:spacing w:line="276" w:lineRule="auto"/>
        <w:ind w:firstLine="720" w:left="0"/>
        <w:rPr>
          <w:rFonts w:ascii="Times New Roman" w:hAnsi="Times New Roman"/>
          <w:sz w:val="24"/>
        </w:rPr>
      </w:pPr>
    </w:p>
    <w:p w14:paraId="6A000000">
      <w:pPr>
        <w:spacing w:line="276" w:lineRule="auto"/>
        <w:ind w:firstLine="72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Прошу рассмотреть вопрос о возможности </w:t>
      </w:r>
      <w:r>
        <w:rPr>
          <w:rFonts w:ascii="Times New Roman" w:hAnsi="Times New Roman"/>
          <w:sz w:val="24"/>
        </w:rPr>
        <w:t>согласования осуществления з</w:t>
      </w:r>
      <w:r>
        <w:rPr>
          <w:rFonts w:ascii="Times New Roman" w:hAnsi="Times New Roman"/>
          <w:sz w:val="24"/>
        </w:rPr>
        <w:t>аимствования</w:t>
      </w:r>
      <w:r>
        <w:rPr>
          <w:rFonts w:ascii="Times New Roman" w:hAnsi="Times New Roman"/>
          <w:sz w:val="24"/>
        </w:rPr>
        <w:t xml:space="preserve"> в форме _________________________</w:t>
      </w:r>
      <w:r>
        <w:rPr>
          <w:rFonts w:ascii="Times New Roman" w:hAnsi="Times New Roman"/>
          <w:sz w:val="24"/>
        </w:rPr>
        <w:t>_______________________________</w:t>
      </w:r>
    </w:p>
    <w:p w14:paraId="6B000000">
      <w:pPr>
        <w:pStyle w:val="Style_5"/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</w:t>
      </w:r>
      <w:r>
        <w:rPr>
          <w:rFonts w:ascii="Times New Roman" w:hAnsi="Times New Roman"/>
          <w:sz w:val="24"/>
        </w:rPr>
        <w:t>____</w:t>
      </w:r>
      <w:r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.</w:t>
      </w:r>
    </w:p>
    <w:p w14:paraId="6C000000">
      <w:pPr>
        <w:pStyle w:val="Style_5"/>
        <w:spacing w:line="276" w:lineRule="auto"/>
        <w:ind w:firstLine="720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18"/>
        </w:rPr>
        <w:t>наименование государственного</w:t>
      </w:r>
      <w:r>
        <w:rPr>
          <w:rFonts w:ascii="Times New Roman" w:hAnsi="Times New Roman"/>
          <w:sz w:val="18"/>
        </w:rPr>
        <w:t xml:space="preserve"> унитарного предприятия</w:t>
      </w:r>
      <w:r>
        <w:rPr>
          <w:rFonts w:ascii="Times New Roman" w:hAnsi="Times New Roman"/>
          <w:sz w:val="24"/>
        </w:rPr>
        <w:t>)</w:t>
      </w:r>
    </w:p>
    <w:p w14:paraId="6D000000">
      <w:pPr>
        <w:pStyle w:val="Style_5"/>
        <w:spacing w:line="276" w:lineRule="auto"/>
        <w:ind w:firstLine="72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существление заимствования необходимо для получения от «________________________________________________________________</w:t>
      </w:r>
      <w:r>
        <w:rPr>
          <w:rFonts w:ascii="Times New Roman" w:hAnsi="Times New Roman"/>
          <w:sz w:val="24"/>
        </w:rPr>
        <w:t>___________</w:t>
      </w:r>
      <w:r>
        <w:rPr>
          <w:rFonts w:ascii="Times New Roman" w:hAnsi="Times New Roman"/>
          <w:sz w:val="24"/>
        </w:rPr>
        <w:t>»</w:t>
      </w:r>
    </w:p>
    <w:p w14:paraId="6E000000">
      <w:pPr>
        <w:pStyle w:val="Style_5"/>
        <w:spacing w:line="276" w:lineRule="auto"/>
        <w:ind w:firstLine="720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18"/>
        </w:rPr>
        <w:t>наименование кредитора</w:t>
      </w:r>
      <w:r>
        <w:rPr>
          <w:rFonts w:ascii="Times New Roman" w:hAnsi="Times New Roman"/>
          <w:sz w:val="18"/>
        </w:rPr>
        <w:t xml:space="preserve"> и его месторасположение</w:t>
      </w:r>
      <w:r>
        <w:rPr>
          <w:rFonts w:ascii="Times New Roman" w:hAnsi="Times New Roman"/>
          <w:sz w:val="24"/>
        </w:rPr>
        <w:t>)</w:t>
      </w:r>
    </w:p>
    <w:p w14:paraId="6F000000">
      <w:pPr>
        <w:pStyle w:val="Style_5"/>
        <w:spacing w:line="276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заемных средств в размере _______________________________________________</w:t>
      </w:r>
      <w:r>
        <w:rPr>
          <w:rFonts w:ascii="Times New Roman" w:hAnsi="Times New Roman"/>
          <w:sz w:val="24"/>
        </w:rPr>
        <w:t>_</w:t>
      </w:r>
      <w:r>
        <w:rPr>
          <w:rFonts w:ascii="Times New Roman" w:hAnsi="Times New Roman"/>
          <w:sz w:val="24"/>
        </w:rPr>
        <w:t>рублей, предоставляемых для _____________________________________________</w:t>
      </w:r>
      <w:r>
        <w:rPr>
          <w:rFonts w:ascii="Times New Roman" w:hAnsi="Times New Roman"/>
          <w:sz w:val="24"/>
        </w:rPr>
        <w:t>_____________</w:t>
      </w:r>
    </w:p>
    <w:p w14:paraId="70000000">
      <w:pPr>
        <w:pStyle w:val="Style_5"/>
        <w:spacing w:line="276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_____________________________________________________________________________под ______________ процентов годовых на срок _________________________.</w:t>
      </w:r>
    </w:p>
    <w:p w14:paraId="71000000">
      <w:pPr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276" w:lineRule="auto"/>
        <w:ind w:firstLine="72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Прошу согласовать</w:t>
      </w:r>
      <w:r>
        <w:rPr>
          <w:rFonts w:ascii="Times New Roman" w:hAnsi="Times New Roman"/>
          <w:sz w:val="24"/>
        </w:rPr>
        <w:t xml:space="preserve"> осуществление заимствования на общую сумму _______________________________________________</w:t>
      </w:r>
      <w:r>
        <w:rPr>
          <w:rFonts w:ascii="Times New Roman" w:hAnsi="Times New Roman"/>
          <w:sz w:val="24"/>
        </w:rPr>
        <w:t>________</w:t>
      </w:r>
      <w:r>
        <w:rPr>
          <w:rFonts w:ascii="Times New Roman" w:hAnsi="Times New Roman"/>
          <w:sz w:val="24"/>
        </w:rPr>
        <w:t>рублей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(с учетом процентов).</w:t>
      </w:r>
    </w:p>
    <w:p w14:paraId="72000000">
      <w:pPr>
        <w:pStyle w:val="Style_5"/>
        <w:spacing w:line="276" w:lineRule="auto"/>
        <w:ind/>
        <w:jc w:val="both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t>аимствование обеспечивается</w:t>
      </w:r>
      <w:r>
        <w:rPr>
          <w:rFonts w:ascii="Times New Roman" w:hAnsi="Times New Roman"/>
          <w:sz w:val="24"/>
        </w:rPr>
        <w:t xml:space="preserve">: </w:t>
      </w:r>
    </w:p>
    <w:p w14:paraId="73000000">
      <w:pPr>
        <w:pStyle w:val="Style_5"/>
        <w:spacing w:line="276" w:lineRule="auto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</w:t>
      </w:r>
      <w:r>
        <w:rPr>
          <w:rFonts w:ascii="Times New Roman" w:hAnsi="Times New Roman"/>
          <w:sz w:val="24"/>
        </w:rPr>
        <w:t>_____</w:t>
      </w:r>
    </w:p>
    <w:p w14:paraId="74000000">
      <w:pPr>
        <w:pStyle w:val="Style_5"/>
        <w:spacing w:line="276" w:lineRule="auto"/>
        <w:ind w:firstLine="720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18"/>
        </w:rPr>
        <w:t>имущество, которым обеспечивается обязательство по заимствованию</w:t>
      </w:r>
      <w:r>
        <w:rPr>
          <w:rFonts w:ascii="Times New Roman" w:hAnsi="Times New Roman"/>
          <w:sz w:val="24"/>
        </w:rPr>
        <w:t>)</w:t>
      </w:r>
    </w:p>
    <w:p w14:paraId="75000000">
      <w:pPr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276" w:lineRule="auto"/>
        <w:ind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</w:t>
      </w:r>
      <w:r>
        <w:rPr>
          <w:rFonts w:ascii="Times New Roman" w:hAnsi="Times New Roman"/>
          <w:sz w:val="24"/>
        </w:rPr>
        <w:t>_____</w:t>
      </w:r>
    </w:p>
    <w:p w14:paraId="76000000">
      <w:pPr>
        <w:pStyle w:val="Style_5"/>
        <w:spacing w:line="276" w:lineRule="auto"/>
        <w:ind w:firstLine="720"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Руководитель Г</w:t>
      </w:r>
      <w:r>
        <w:rPr>
          <w:rFonts w:ascii="Times New Roman" w:hAnsi="Times New Roman"/>
          <w:sz w:val="24"/>
        </w:rPr>
        <w:t>УП</w:t>
      </w:r>
    </w:p>
    <w:p w14:paraId="77000000">
      <w:pPr>
        <w:pStyle w:val="Style_5"/>
        <w:spacing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Главный бухгалтер Г</w:t>
      </w:r>
      <w:r>
        <w:rPr>
          <w:rFonts w:ascii="Times New Roman" w:hAnsi="Times New Roman"/>
          <w:sz w:val="24"/>
        </w:rPr>
        <w:t>УП</w:t>
      </w:r>
    </w:p>
    <w:p w14:paraId="78000000">
      <w:pPr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276" w:lineRule="auto"/>
        <w:ind w:firstLine="720" w:left="0"/>
        <w:jc w:val="both"/>
        <w:rPr>
          <w:rFonts w:ascii="Times New Roman" w:hAnsi="Times New Roman"/>
          <w:sz w:val="28"/>
        </w:rPr>
      </w:pPr>
    </w:p>
    <w:p w14:paraId="79000000">
      <w:pPr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М.П.</w:t>
      </w:r>
    </w:p>
    <w:p w14:paraId="7A000000">
      <w:pPr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line="276" w:lineRule="auto"/>
        <w:ind w:firstLine="720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</w:t>
      </w:r>
    </w:p>
    <w:p w14:paraId="7B000000">
      <w:pPr>
        <w:spacing w:after="0" w:line="240" w:lineRule="auto"/>
        <w:ind w:firstLine="0" w:left="5103"/>
        <w:rPr>
          <w:rFonts w:ascii="Times New Roman" w:hAnsi="Times New Roman"/>
          <w:sz w:val="24"/>
        </w:rPr>
      </w:pPr>
    </w:p>
    <w:p w14:paraId="7C000000">
      <w:pPr>
        <w:spacing w:after="0" w:line="240" w:lineRule="auto"/>
        <w:ind w:firstLine="0" w:left="5103"/>
        <w:rPr>
          <w:rFonts w:ascii="Times New Roman" w:hAnsi="Times New Roman"/>
          <w:sz w:val="24"/>
        </w:rPr>
      </w:pPr>
    </w:p>
    <w:p w14:paraId="7D000000">
      <w:pPr>
        <w:spacing w:after="0" w:line="240" w:lineRule="auto"/>
        <w:ind w:firstLine="0" w:left="510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2</w:t>
      </w:r>
    </w:p>
    <w:p w14:paraId="7E000000">
      <w:pPr>
        <w:spacing w:after="0" w:line="240" w:lineRule="auto"/>
        <w:ind w:firstLine="0" w:left="510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Порядку осуществления заимствований государственными унитарными предприятиями, находящимися в ведении администрации города Байконур </w:t>
      </w:r>
    </w:p>
    <w:p w14:paraId="7F000000">
      <w:pPr>
        <w:spacing w:after="0"/>
        <w:ind w:firstLine="0" w:left="4678"/>
        <w:jc w:val="both"/>
        <w:rPr>
          <w:rFonts w:ascii="Times New Roman" w:hAnsi="Times New Roman"/>
          <w:sz w:val="28"/>
        </w:rPr>
      </w:pPr>
    </w:p>
    <w:p w14:paraId="80000000">
      <w:pPr>
        <w:spacing w:after="0"/>
        <w:ind w:firstLine="0" w:left="5760"/>
        <w:jc w:val="both"/>
        <w:rPr>
          <w:rFonts w:ascii="Times New Roman" w:hAnsi="Times New Roman"/>
          <w:sz w:val="28"/>
        </w:rPr>
      </w:pPr>
    </w:p>
    <w:p w14:paraId="81000000">
      <w:pPr>
        <w:spacing w:after="0"/>
        <w:ind w:firstLine="0" w:left="5940"/>
        <w:jc w:val="both"/>
        <w:rPr>
          <w:rFonts w:ascii="Times New Roman" w:hAnsi="Times New Roman"/>
        </w:rPr>
      </w:pPr>
    </w:p>
    <w:p w14:paraId="82000000">
      <w:pPr>
        <w:spacing w:after="0"/>
        <w:ind w:firstLine="0" w:left="5940"/>
        <w:jc w:val="both"/>
        <w:rPr>
          <w:rFonts w:ascii="Times New Roman" w:hAnsi="Times New Roman"/>
        </w:rPr>
      </w:pPr>
    </w:p>
    <w:tbl>
      <w:tblPr>
        <w:tblStyle w:val="Style_6"/>
        <w:tblInd w:type="dxa" w:w="108"/>
        <w:tblLayout w:type="fixed"/>
      </w:tblPr>
      <w:tblGrid>
        <w:gridCol w:w="4395"/>
      </w:tblGrid>
      <w:tr>
        <w:trPr>
          <w:trHeight w:hRule="atLeast" w:val="1275"/>
        </w:trPr>
        <w:tc>
          <w:tcPr>
            <w:tcW w:type="dxa" w:w="4395"/>
          </w:tcPr>
          <w:p w14:paraId="83000000">
            <w:pPr>
              <w:pStyle w:val="Style_7"/>
              <w:spacing w:line="276" w:lineRule="auto"/>
              <w:ind/>
              <w:rPr>
                <w:rFonts w:ascii="Times New Roman" w:hAnsi="Times New Roman"/>
                <w:spacing w:val="40"/>
                <w:sz w:val="28"/>
              </w:rPr>
            </w:pPr>
          </w:p>
          <w:p w14:paraId="84000000">
            <w:pPr>
              <w:pStyle w:val="Style_7"/>
              <w:spacing w:line="276" w:lineRule="auto"/>
              <w:ind/>
              <w:rPr>
                <w:rFonts w:ascii="Times New Roman" w:hAnsi="Times New Roman"/>
                <w:spacing w:val="40"/>
                <w:sz w:val="28"/>
              </w:rPr>
            </w:pPr>
            <w:r>
              <w:rPr>
                <w:rFonts w:ascii="Times New Roman" w:hAnsi="Times New Roman"/>
                <w:spacing w:val="40"/>
                <w:sz w:val="28"/>
              </w:rPr>
              <w:t>АДМИНИСТРАЦИЯ</w:t>
            </w:r>
          </w:p>
          <w:p w14:paraId="85000000">
            <w:pPr>
              <w:pStyle w:val="Style_7"/>
              <w:widowControl w:val="0"/>
              <w:spacing w:line="276" w:lineRule="auto"/>
              <w:ind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spacing w:val="40"/>
                <w:sz w:val="28"/>
              </w:rPr>
              <w:t>ГОРОДА БАЙКОНУР</w:t>
            </w:r>
            <w:r>
              <w:rPr>
                <w:rFonts w:ascii="Times New Roman" w:hAnsi="Times New Roman"/>
                <w:spacing w:val="40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true" layoutInCell="true" locked="false" relativeHeight="251658240" simplePos="false">
                      <wp:simplePos x="0" y="0"/>
                      <wp:positionH relativeFrom="column">
                        <wp:posOffset>1039495</wp:posOffset>
                      </wp:positionH>
                      <wp:positionV relativeFrom="paragraph">
                        <wp:posOffset>-537210</wp:posOffset>
                      </wp:positionV>
                      <wp:extent cx="653415" cy="736600"/>
                      <wp:wrapNone/>
                      <wp:docPr hidden="false" id="3" name="Picture 3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653415" cy="736600"/>
                              </a:xfrm>
                              <a:custGeom>
                                <a:avLst/>
                                <a:gdLst>
                                  <a:gd fmla="val 0" name="COTextRectL"/>
                                  <a:gd fmla="val 0" name="COTextRectT"/>
                                  <a:gd fmla="val 1" name="COTextRectR"/>
                                  <a:gd fmla="val 1" name="COTextRectB"/>
                                  <a:gd fmla="val 0" name="ODFLeft"/>
                                  <a:gd fmla="val 0" name="ODFTop"/>
                                  <a:gd fmla="val 21600" name="ODFRight"/>
                                  <a:gd fmla="val 21600" name="ODFBottom"/>
                                  <a:gd fmla="val 21600" name="ODFWidth"/>
                                  <a:gd fmla="val 21600" name="ODFHeight"/>
                                  <a:gd fmla="*/ COTextRectL w 1" name="OXMLTextRectL"/>
                                  <a:gd fmla="*/ COTextRectT h 1" name="OXMLTextRectT"/>
                                  <a:gd fmla="*/ COTextRectR w 1" name="OXMLTextRectR"/>
                                  <a:gd fmla="*/ COTextRectB h 1" name="OXMLTextRectB"/>
                                </a:gdLst>
                                <a:rect b="OXMLTextRectB" l="OXMLTextRectL" r="OXMLTextRectR" t="OXMLTextRectT"/>
                                <a:pathLst>
                                  <a:path fill="norm" h="21600" stroke="true" w="21600">
                                    <a:moveTo>
                                      <a:pt x="0" y="0"/>
                                    </a:moveTo>
                                    <a:lnTo>
                                      <a:pt x="0" y="2160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86000000">
                                  <w:pPr>
                                    <w:ind/>
                                    <w:jc w:val="center"/>
                                  </w:pPr>
                                  <w:r>
                                    <w:drawing>
                                      <wp:inline>
                                        <wp:extent cx="638175" cy="733425"/>
                                        <wp:docPr hidden="false" id="2" name="Picture 2"/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hidden="false" id="1" name="Picture 1"/>
                                                <pic:cNvPicPr preferRelativeResize="true"/>
                                              </pic:nvPicPr>
                                              <pic:blipFill>
                                                <a:blip r:embed="rId2"/>
                                                <a:srcRect b="0" l="0" r="0" t="0"/>
                                                <a:stretch/>
                                              </pic:blipFill>
                                              <pic:spPr>
                                                <a:xfrm flipH="false" flipV="false" rot="0">
                                                  <a:ext cx="638175" cy="733425"/>
                                                </a:xfrm>
                                                <a:prstGeom prst="rect"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anchor="t" bIns="0" lIns="0" rIns="0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</w:tc>
      </w:tr>
      <w:tr>
        <w:trPr>
          <w:trHeight w:hRule="atLeast" w:val="1117"/>
        </w:trPr>
        <w:tc>
          <w:tcPr>
            <w:tcW w:type="dxa" w:w="4395"/>
          </w:tcPr>
          <w:p w14:paraId="87000000">
            <w:pPr>
              <w:tabs>
                <w:tab w:leader="none" w:pos="4253" w:val="left"/>
              </w:tabs>
              <w:spacing w:after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проспект академика Королева, 33 </w:t>
            </w:r>
          </w:p>
          <w:p w14:paraId="88000000">
            <w:pPr>
              <w:tabs>
                <w:tab w:leader="none" w:pos="4253" w:val="left"/>
              </w:tabs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</w:rPr>
              <w:t>г. Байконур, 468320</w:t>
            </w:r>
          </w:p>
          <w:p w14:paraId="89000000">
            <w:pPr>
              <w:spacing w:after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 (336-22) 7-12-60,</w:t>
            </w:r>
          </w:p>
          <w:p w14:paraId="8A000000">
            <w:pPr>
              <w:spacing w:after="0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 (факс) (336-22) 7-16-23</w:t>
            </w:r>
          </w:p>
          <w:p w14:paraId="8B000000">
            <w:pPr>
              <w:widowControl w:val="0"/>
              <w:spacing w:after="0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</w:rPr>
              <w:t>www.baikonuradm.ru</w:t>
            </w:r>
          </w:p>
        </w:tc>
      </w:tr>
      <w:tr>
        <w:trPr>
          <w:trHeight w:hRule="atLeast" w:val="585"/>
        </w:trPr>
        <w:tc>
          <w:tcPr>
            <w:tcW w:type="dxa" w:w="4395"/>
          </w:tcPr>
          <w:p w14:paraId="8C000000">
            <w:pPr>
              <w:widowControl w:val="0"/>
              <w:spacing w:after="0"/>
              <w:ind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  <w:sz w:val="24"/>
              </w:rPr>
              <w:t>____________   №________________</w:t>
            </w:r>
          </w:p>
          <w:p w14:paraId="8D000000">
            <w:pPr>
              <w:spacing w:after="0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на  № от</w:t>
            </w:r>
            <w:r>
              <w:rPr>
                <w:rFonts w:ascii="Times New Roman" w:hAnsi="Times New Roman"/>
                <w:color w:val="FFFFFF"/>
                <w:sz w:val="24"/>
                <w:u w:val="single"/>
              </w:rPr>
              <w:t>.</w:t>
            </w:r>
          </w:p>
          <w:p w14:paraId="8E000000">
            <w:pPr>
              <w:spacing w:after="0"/>
              <w:ind/>
              <w:jc w:val="center"/>
              <w:rPr>
                <w:rFonts w:ascii="Times New Roman" w:hAnsi="Times New Roman"/>
              </w:rPr>
            </w:pPr>
          </w:p>
        </w:tc>
      </w:tr>
    </w:tbl>
    <w:p w14:paraId="8F000000">
      <w:pPr>
        <w:spacing w:after="0"/>
        <w:ind/>
        <w:rPr>
          <w:rFonts w:ascii="Times New Roman" w:hAnsi="Times New Roman"/>
        </w:rPr>
      </w:pPr>
    </w:p>
    <w:p w14:paraId="90000000">
      <w:pPr>
        <w:spacing w:after="0"/>
        <w:ind/>
        <w:rPr>
          <w:rFonts w:ascii="Times New Roman" w:hAnsi="Times New Roman"/>
        </w:rPr>
      </w:pPr>
    </w:p>
    <w:p w14:paraId="91000000">
      <w:pPr>
        <w:pStyle w:val="Style_8"/>
        <w:spacing w:after="0" w:before="0" w:line="276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92000000">
      <w:pPr>
        <w:pStyle w:val="Style_8"/>
        <w:spacing w:after="0" w:before="0" w:line="276" w:lineRule="auto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О</w:t>
      </w:r>
      <w:r>
        <w:rPr>
          <w:rFonts w:ascii="Times New Roman" w:hAnsi="Times New Roman"/>
          <w:b w:val="0"/>
          <w:sz w:val="28"/>
        </w:rPr>
        <w:t>(б)</w:t>
      </w:r>
      <w:r>
        <w:rPr>
          <w:rFonts w:ascii="Times New Roman" w:hAnsi="Times New Roman"/>
          <w:b w:val="0"/>
        </w:rPr>
        <w:t xml:space="preserve"> согласовании, отказе в согласовании</w:t>
      </w:r>
      <w:r>
        <w:rPr>
          <w:rFonts w:ascii="Times New Roman" w:hAnsi="Times New Roman"/>
          <w:b w:val="0"/>
        </w:rPr>
        <w:t xml:space="preserve"> осуществления </w:t>
      </w:r>
      <w:r>
        <w:rPr>
          <w:rFonts w:ascii="Times New Roman" w:hAnsi="Times New Roman"/>
          <w:b w:val="0"/>
        </w:rPr>
        <w:t>заимствования</w:t>
      </w:r>
    </w:p>
    <w:p w14:paraId="93000000">
      <w:pPr>
        <w:spacing w:after="0"/>
        <w:ind/>
        <w:rPr>
          <w:rFonts w:ascii="Times New Roman" w:hAnsi="Times New Roman"/>
        </w:rPr>
      </w:pPr>
    </w:p>
    <w:p w14:paraId="94000000">
      <w:pPr>
        <w:pStyle w:val="Style_3"/>
        <w:spacing w:after="0" w:before="0"/>
        <w:ind/>
        <w:jc w:val="both"/>
      </w:pPr>
      <w:r>
        <w:t>Администрация города Байконур, рассмотрев заявление ______________________</w:t>
      </w:r>
      <w:r>
        <w:tab/>
      </w:r>
      <w:r>
        <w:t>_</w:t>
      </w:r>
      <w:r>
        <w:t>____</w:t>
      </w:r>
      <w:r>
        <w:t>от ____________________</w:t>
      </w:r>
      <w:r>
        <w:t>_________________________________________________</w:t>
      </w:r>
      <w:r>
        <w:t>___</w:t>
      </w:r>
    </w:p>
    <w:p w14:paraId="95000000">
      <w:pPr>
        <w:pStyle w:val="Style_3"/>
        <w:spacing w:after="0" w:before="0"/>
        <w:ind/>
        <w:jc w:val="center"/>
        <w:rPr>
          <w:sz w:val="14"/>
        </w:rPr>
      </w:pPr>
      <w:r>
        <w:rPr>
          <w:sz w:val="14"/>
        </w:rPr>
        <w:t>(наименование государственного унитарного предприятия</w:t>
      </w:r>
      <w:r>
        <w:rPr>
          <w:sz w:val="14"/>
        </w:rPr>
        <w:t>, бюджетного учреждения</w:t>
      </w:r>
      <w:r>
        <w:rPr>
          <w:sz w:val="14"/>
        </w:rPr>
        <w:t>)</w:t>
      </w:r>
    </w:p>
    <w:p w14:paraId="96000000">
      <w:pPr>
        <w:pStyle w:val="Style_3"/>
        <w:spacing w:after="0" w:before="0"/>
        <w:ind/>
        <w:jc w:val="both"/>
      </w:pPr>
      <w:r>
        <w:t xml:space="preserve">(протокол заседания комиссии по согласованию </w:t>
      </w:r>
      <w:r>
        <w:t>(одобрени</w:t>
      </w:r>
      <w:r>
        <w:t>ю</w:t>
      </w:r>
      <w:r>
        <w:t>) сделок государственных унитарных предприятий и учреждений, находящихся в ведении администрации города Байконур</w:t>
      </w:r>
      <w:r>
        <w:t>,</w:t>
      </w:r>
      <w:r>
        <w:t xml:space="preserve"> </w:t>
      </w:r>
      <w:r>
        <w:t>от _______________________ № _______) принимает решение о(б) согласовании, отказе в</w:t>
      </w:r>
      <w:r>
        <w:t xml:space="preserve"> </w:t>
      </w:r>
      <w:r>
        <w:t>согласовании</w:t>
      </w:r>
      <w:r>
        <w:t xml:space="preserve"> </w:t>
      </w:r>
      <w:r>
        <w:t>осуществления заимствования</w:t>
      </w:r>
      <w:r>
        <w:t xml:space="preserve"> </w:t>
      </w:r>
      <w:r>
        <w:t>по причине(</w:t>
      </w:r>
      <w:r>
        <w:t>ам</w:t>
      </w:r>
      <w:r>
        <w:t>): ____________________________</w:t>
      </w:r>
      <w:r>
        <w:t>_______</w:t>
      </w:r>
      <w:r>
        <w:t>_</w:t>
      </w:r>
      <w:r>
        <w:t>_________________________________________</w:t>
      </w:r>
      <w:r>
        <w:t>.</w:t>
      </w:r>
    </w:p>
    <w:p w14:paraId="97000000">
      <w:pPr>
        <w:pStyle w:val="Style_3"/>
        <w:spacing w:after="0" w:before="0" w:line="276" w:lineRule="auto"/>
        <w:ind/>
        <w:jc w:val="both"/>
      </w:pPr>
    </w:p>
    <w:p w14:paraId="98000000">
      <w:pPr>
        <w:pStyle w:val="Style_3"/>
        <w:spacing w:after="0" w:before="0" w:line="276" w:lineRule="auto"/>
        <w:ind/>
      </w:pPr>
    </w:p>
    <w:p w14:paraId="99000000">
      <w:pPr>
        <w:pStyle w:val="Style_3"/>
        <w:spacing w:after="0" w:before="0" w:line="276" w:lineRule="auto"/>
        <w:ind/>
      </w:pPr>
      <w:bookmarkStart w:id="1" w:name="_GoBack"/>
      <w:bookmarkEnd w:id="1"/>
    </w:p>
    <w:p w14:paraId="9A000000">
      <w:pPr>
        <w:pStyle w:val="Style_3"/>
        <w:spacing w:after="0" w:before="0" w:line="276" w:lineRule="auto"/>
        <w:ind/>
      </w:pPr>
      <w:r>
        <w:t>Председатель комиссии</w:t>
      </w:r>
      <w:r>
        <w:t xml:space="preserve">               _______________/ф</w:t>
      </w:r>
      <w:r>
        <w:t>амилия</w:t>
      </w:r>
      <w:r>
        <w:t>,</w:t>
      </w:r>
      <w:r>
        <w:t xml:space="preserve"> </w:t>
      </w:r>
      <w:r>
        <w:t>инициалы/</w:t>
      </w:r>
    </w:p>
    <w:p w14:paraId="9B000000">
      <w:pPr>
        <w:pStyle w:val="Style_3"/>
        <w:spacing w:after="0" w:before="0" w:line="276" w:lineRule="auto"/>
        <w:ind w:firstLine="708" w:left="2124"/>
        <w:jc w:val="both"/>
      </w:pPr>
      <w:r>
        <w:rPr>
          <w:sz w:val="22"/>
        </w:rPr>
        <w:t>(подпись)</w:t>
      </w:r>
    </w:p>
    <w:p w14:paraId="9C000000">
      <w:pPr>
        <w:pStyle w:val="Style_3"/>
        <w:spacing w:after="0" w:before="0" w:line="276" w:lineRule="auto"/>
        <w:ind/>
      </w:pPr>
    </w:p>
    <w:p w14:paraId="9D000000">
      <w:pPr>
        <w:pStyle w:val="Style_3"/>
        <w:spacing w:after="0" w:before="0" w:line="276" w:lineRule="auto"/>
        <w:ind/>
      </w:pPr>
      <w:r>
        <w:t>М.П.</w:t>
      </w:r>
    </w:p>
    <w:p w14:paraId="9E000000">
      <w:pPr>
        <w:spacing w:after="0"/>
        <w:ind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</w:t>
      </w:r>
    </w:p>
    <w:sectPr>
      <w:headerReference r:id="rId1" w:type="default"/>
      <w:pgSz w:h="16838" w:orient="portrait" w:w="11906"/>
      <w:pgMar w:bottom="1134" w:footer="708" w:gutter="0" w:header="708" w:left="1701" w:right="850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4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1440"/>
      </w:pPr>
    </w:lvl>
    <w:lvl w:ilvl="3">
      <w:start w:val="1"/>
      <w:numFmt w:val="decimal"/>
      <w:lvlText w:val="%1.%2.%3.%4."/>
      <w:lvlJc w:val="left"/>
      <w:pPr>
        <w:ind w:hanging="1080" w:left="1800"/>
      </w:pPr>
    </w:lvl>
    <w:lvl w:ilvl="4">
      <w:start w:val="1"/>
      <w:numFmt w:val="decimal"/>
      <w:lvlText w:val="%1.%2.%3.%4.%5."/>
      <w:lvlJc w:val="left"/>
      <w:pPr>
        <w:ind w:hanging="1080" w:left="1800"/>
      </w:pPr>
    </w:lvl>
    <w:lvl w:ilvl="5">
      <w:start w:val="1"/>
      <w:numFmt w:val="decimal"/>
      <w:lvlText w:val="%1.%2.%3.%4.%5.%6."/>
      <w:lvlJc w:val="left"/>
      <w:pPr>
        <w:ind w:hanging="1440" w:left="2160"/>
      </w:pPr>
    </w:lvl>
    <w:lvl w:ilvl="6">
      <w:start w:val="1"/>
      <w:numFmt w:val="decimal"/>
      <w:lvlText w:val="%1.%2.%3.%4.%5.%6.%7."/>
      <w:lvlJc w:val="left"/>
      <w:pPr>
        <w:ind w:hanging="1800" w:left="2520"/>
      </w:pPr>
    </w:lvl>
    <w:lvl w:ilvl="7">
      <w:start w:val="1"/>
      <w:numFmt w:val="decimal"/>
      <w:lvlText w:val="%1.%2.%3.%4.%5.%6.%7.%8."/>
      <w:lvlJc w:val="left"/>
      <w:pPr>
        <w:ind w:hanging="1800" w:left="2520"/>
      </w:pPr>
    </w:lvl>
    <w:lvl w:ilvl="8">
      <w:start w:val="1"/>
      <w:numFmt w:val="decimal"/>
      <w:lvlText w:val="%1.%2.%3.%4.%5.%6.%7.%8.%9."/>
      <w:lvlJc w:val="left"/>
      <w:pPr>
        <w:ind w:hanging="2160" w:left="28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</w:style>
  <w:style w:default="1" w:styleId="Style_9_ch" w:type="character">
    <w:name w:val="Normal"/>
    <w:link w:val="Style_9"/>
  </w:style>
  <w:style w:styleId="Style_10" w:type="paragraph">
    <w:name w:val="toc 2"/>
    <w:next w:val="Style_9"/>
    <w:link w:val="Style_10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toc 4"/>
    <w:next w:val="Style_9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toc 6"/>
    <w:next w:val="Style_9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9"/>
    <w:link w:val="Style_1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" w:type="paragraph">
    <w:name w:val="header"/>
    <w:basedOn w:val="Style_9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9_ch"/>
    <w:link w:val="Style_1"/>
  </w:style>
  <w:style w:styleId="Style_8" w:type="paragraph">
    <w:name w:val="heading 3"/>
    <w:basedOn w:val="Style_9"/>
    <w:next w:val="Style_9"/>
    <w:link w:val="Style_8_ch"/>
    <w:uiPriority w:val="9"/>
    <w:qFormat/>
    <w:pPr>
      <w:keepNext w:val="1"/>
      <w:spacing w:after="60" w:before="240" w:line="240" w:lineRule="auto"/>
      <w:ind/>
      <w:outlineLvl w:val="2"/>
    </w:pPr>
    <w:rPr>
      <w:rFonts w:ascii="Cambria" w:hAnsi="Cambria"/>
      <w:b w:val="1"/>
      <w:sz w:val="26"/>
    </w:rPr>
  </w:style>
  <w:style w:styleId="Style_8_ch" w:type="character">
    <w:name w:val="heading 3"/>
    <w:basedOn w:val="Style_9_ch"/>
    <w:link w:val="Style_8"/>
    <w:rPr>
      <w:rFonts w:ascii="Cambria" w:hAnsi="Cambria"/>
      <w:b w:val="1"/>
      <w:sz w:val="26"/>
    </w:rPr>
  </w:style>
  <w:style w:styleId="Style_14" w:type="paragraph">
    <w:name w:val="Balloon Text"/>
    <w:basedOn w:val="Style_9"/>
    <w:link w:val="Style_14_ch"/>
    <w:pPr>
      <w:spacing w:after="0" w:line="240" w:lineRule="auto"/>
      <w:ind/>
    </w:pPr>
    <w:rPr>
      <w:rFonts w:ascii="Tahoma" w:hAnsi="Tahoma"/>
      <w:sz w:val="16"/>
    </w:rPr>
  </w:style>
  <w:style w:styleId="Style_14_ch" w:type="character">
    <w:name w:val="Balloon Text"/>
    <w:basedOn w:val="Style_9_ch"/>
    <w:link w:val="Style_14"/>
    <w:rPr>
      <w:rFonts w:ascii="Tahoma" w:hAnsi="Tahoma"/>
      <w:sz w:val="16"/>
    </w:rPr>
  </w:style>
  <w:style w:styleId="Style_5" w:type="paragraph">
    <w:name w:val="HTML Preformatted"/>
    <w:basedOn w:val="Style_9"/>
    <w:link w:val="Style_5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spacing w:after="0" w:line="240" w:lineRule="auto"/>
      <w:ind/>
    </w:pPr>
    <w:rPr>
      <w:rFonts w:ascii="Courier New" w:hAnsi="Courier New"/>
      <w:sz w:val="20"/>
    </w:rPr>
  </w:style>
  <w:style w:styleId="Style_5_ch" w:type="character">
    <w:name w:val="HTML Preformatted"/>
    <w:basedOn w:val="Style_9_ch"/>
    <w:link w:val="Style_5"/>
    <w:rPr>
      <w:rFonts w:ascii="Courier New" w:hAnsi="Courier New"/>
      <w:sz w:val="20"/>
    </w:rPr>
  </w:style>
  <w:style w:styleId="Style_2" w:type="paragraph">
    <w:name w:val="List Paragraph"/>
    <w:basedOn w:val="Style_9"/>
    <w:link w:val="Style_2_ch"/>
    <w:pPr>
      <w:ind w:firstLine="0" w:left="720"/>
      <w:contextualSpacing w:val="1"/>
    </w:pPr>
  </w:style>
  <w:style w:styleId="Style_2_ch" w:type="character">
    <w:name w:val="List Paragraph"/>
    <w:basedOn w:val="Style_9_ch"/>
    <w:link w:val="Style_2"/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3" w:type="paragraph">
    <w:name w:val="Normal (Web)"/>
    <w:basedOn w:val="Style_9"/>
    <w:link w:val="Style_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9_ch"/>
    <w:link w:val="Style_3"/>
    <w:rPr>
      <w:rFonts w:ascii="Times New Roman" w:hAnsi="Times New Roman"/>
      <w:sz w:val="24"/>
    </w:rPr>
  </w:style>
  <w:style w:styleId="Style_16" w:type="paragraph">
    <w:name w:val="toc 3"/>
    <w:next w:val="Style_9"/>
    <w:link w:val="Style_16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heading 5"/>
    <w:next w:val="Style_9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7" w:type="paragraph">
    <w:name w:val="heading 1"/>
    <w:basedOn w:val="Style_9"/>
    <w:next w:val="Style_9"/>
    <w:link w:val="Style_7_ch"/>
    <w:uiPriority w:val="9"/>
    <w:qFormat/>
    <w:pPr>
      <w:keepNext w:val="1"/>
      <w:spacing w:after="0" w:line="240" w:lineRule="auto"/>
      <w:ind/>
      <w:jc w:val="center"/>
      <w:outlineLvl w:val="0"/>
    </w:pPr>
    <w:rPr>
      <w:rFonts w:ascii="Baltica" w:hAnsi="Baltica"/>
      <w:b w:val="1"/>
      <w:sz w:val="40"/>
    </w:rPr>
  </w:style>
  <w:style w:styleId="Style_7_ch" w:type="character">
    <w:name w:val="heading 1"/>
    <w:basedOn w:val="Style_9_ch"/>
    <w:link w:val="Style_7"/>
    <w:rPr>
      <w:rFonts w:ascii="Baltica" w:hAnsi="Baltica"/>
      <w:b w:val="1"/>
      <w:sz w:val="40"/>
    </w:rPr>
  </w:style>
  <w:style w:styleId="Style_18" w:type="paragraph">
    <w:name w:val="Hyperlink"/>
    <w:basedOn w:val="Style_15"/>
    <w:link w:val="Style_18_ch"/>
    <w:rPr>
      <w:color w:themeColor="hyperlink" w:val="0563C1"/>
      <w:u w:val="single"/>
    </w:rPr>
  </w:style>
  <w:style w:styleId="Style_18_ch" w:type="character">
    <w:name w:val="Hyperlink"/>
    <w:basedOn w:val="Style_15_ch"/>
    <w:link w:val="Style_18"/>
    <w:rPr>
      <w:color w:themeColor="hyperlink" w:val="0563C1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9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0"/>
    </w:rPr>
  </w:style>
  <w:style w:styleId="Style_21_ch" w:type="character">
    <w:name w:val="Header and Footer"/>
    <w:link w:val="Style_21"/>
    <w:rPr>
      <w:rFonts w:ascii="XO Thames" w:hAnsi="XO Thames"/>
      <w:sz w:val="20"/>
    </w:rPr>
  </w:style>
  <w:style w:styleId="Style_22" w:type="paragraph">
    <w:name w:val="toc 9"/>
    <w:next w:val="Style_9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footer"/>
    <w:basedOn w:val="Style_9"/>
    <w:link w:val="Style_23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3_ch" w:type="character">
    <w:name w:val="footer"/>
    <w:basedOn w:val="Style_9_ch"/>
    <w:link w:val="Style_23"/>
  </w:style>
  <w:style w:styleId="Style_24" w:type="paragraph">
    <w:name w:val="toc 8"/>
    <w:next w:val="Style_9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4" w:type="paragraph">
    <w:name w:val="Strong"/>
    <w:basedOn w:val="Style_15"/>
    <w:link w:val="Style_4_ch"/>
    <w:rPr>
      <w:b w:val="1"/>
    </w:rPr>
  </w:style>
  <w:style w:styleId="Style_4_ch" w:type="character">
    <w:name w:val="Strong"/>
    <w:basedOn w:val="Style_15_ch"/>
    <w:link w:val="Style_4"/>
    <w:rPr>
      <w:b w:val="1"/>
    </w:rPr>
  </w:style>
  <w:style w:styleId="Style_25" w:type="paragraph">
    <w:name w:val="toc 5"/>
    <w:next w:val="Style_9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formattext"/>
    <w:basedOn w:val="Style_9"/>
    <w:link w:val="Style_26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6_ch" w:type="character">
    <w:name w:val="formattext"/>
    <w:basedOn w:val="Style_9_ch"/>
    <w:link w:val="Style_26"/>
    <w:rPr>
      <w:rFonts w:ascii="Times New Roman" w:hAnsi="Times New Roman"/>
      <w:sz w:val="24"/>
    </w:rPr>
  </w:style>
  <w:style w:styleId="Style_27" w:type="paragraph">
    <w:name w:val="Subtitle"/>
    <w:next w:val="Style_9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9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9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9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styleId="Style_31" w:type="table">
    <w:name w:val="Table Grid"/>
    <w:basedOn w:val="Style_6"/>
    <w:pPr>
      <w:spacing w:after="0" w:line="240" w:lineRule="auto"/>
      <w:ind/>
    </w:pPr>
    <w:rPr>
      <w:rFonts w:ascii="Times New Roman" w:hAnsi="Times New Roman"/>
      <w:sz w:val="20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pn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2024-07-17T07:06:29Z</dcterms:modified>
</cp:coreProperties>
</file>